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before="0" w:after="0" w:line="360" w:lineRule="auto"/>
        <w:contextualSpacing/>
        <w:jc w:val="center"/>
        <w:rPr>
          <w:rFonts w:hint="eastAsia" w:ascii="黑体" w:hAnsi="黑体" w:eastAsia="黑体" w:cs="仿宋"/>
          <w:b/>
          <w:bCs/>
          <w:sz w:val="32"/>
          <w:szCs w:val="32"/>
          <w:lang w:val="en-US" w:eastAsia="zh-CN"/>
        </w:rPr>
      </w:pPr>
      <w:bookmarkStart w:id="0" w:name="_Toc53217150"/>
      <w:bookmarkStart w:id="1" w:name="_Toc61612423"/>
      <w:r>
        <w:rPr>
          <w:rFonts w:hint="eastAsia" w:ascii="黑体" w:hAnsi="黑体" w:eastAsia="黑体" w:cs="仿宋"/>
          <w:b/>
          <w:bCs/>
          <w:sz w:val="32"/>
          <w:szCs w:val="32"/>
          <w:lang w:val="en-US" w:eastAsia="zh-CN"/>
        </w:rPr>
        <w:t>第一章项目概况</w:t>
      </w:r>
    </w:p>
    <w:p>
      <w:pPr>
        <w:rPr>
          <w:rFonts w:hint="eastAsia" w:ascii="黑体" w:hAnsi="黑体" w:eastAsia="黑体" w:cs="仿宋"/>
          <w:b/>
          <w:bCs/>
          <w:sz w:val="32"/>
          <w:szCs w:val="32"/>
          <w:lang w:val="en-US" w:eastAsia="zh-CN"/>
        </w:rPr>
      </w:pPr>
      <w:r>
        <w:rPr>
          <w:rFonts w:hint="eastAsia" w:ascii="黑体" w:hAnsi="黑体" w:eastAsia="黑体" w:cs="仿宋"/>
          <w:b/>
          <w:bCs/>
          <w:sz w:val="32"/>
          <w:szCs w:val="32"/>
          <w:lang w:val="en-US" w:eastAsia="zh-CN"/>
        </w:rPr>
        <w:t xml:space="preserve">一 项目预算金额： </w:t>
      </w:r>
      <w:r>
        <w:rPr>
          <w:rFonts w:hint="eastAsia" w:cs="Arial" w:asciiTheme="majorEastAsia" w:hAnsiTheme="majorEastAsia" w:eastAsiaTheme="majorEastAsia"/>
          <w:kern w:val="0"/>
          <w:sz w:val="24"/>
          <w:szCs w:val="22"/>
          <w:lang w:val="en-US" w:eastAsia="zh-CN"/>
        </w:rPr>
        <w:t>25万元；</w:t>
      </w:r>
    </w:p>
    <w:p>
      <w:pPr>
        <w:numPr>
          <w:ilvl w:val="0"/>
          <w:numId w:val="1"/>
        </w:numPr>
        <w:rPr>
          <w:rFonts w:hint="eastAsia" w:cs="Arial" w:asciiTheme="majorEastAsia" w:hAnsiTheme="majorEastAsia" w:eastAsiaTheme="majorEastAsia"/>
          <w:kern w:val="0"/>
          <w:sz w:val="24"/>
          <w:szCs w:val="22"/>
          <w:lang w:val="en-US" w:eastAsia="zh-CN"/>
        </w:rPr>
      </w:pPr>
      <w:r>
        <w:rPr>
          <w:rFonts w:hint="eastAsia" w:ascii="黑体" w:hAnsi="黑体" w:eastAsia="黑体" w:cs="仿宋"/>
          <w:b/>
          <w:bCs/>
          <w:sz w:val="32"/>
          <w:szCs w:val="32"/>
          <w:lang w:val="en-US" w:eastAsia="zh-CN"/>
        </w:rPr>
        <w:t xml:space="preserve">付款方式： </w:t>
      </w:r>
      <w:r>
        <w:rPr>
          <w:rFonts w:hint="eastAsia" w:cs="Arial" w:asciiTheme="majorEastAsia" w:hAnsiTheme="majorEastAsia" w:eastAsiaTheme="majorEastAsia"/>
          <w:kern w:val="0"/>
          <w:sz w:val="24"/>
          <w:szCs w:val="22"/>
          <w:lang w:val="en-US" w:eastAsia="zh-CN"/>
        </w:rPr>
        <w:t>项目测评整改报告发布，拿到备案证书付款100%；</w:t>
      </w:r>
    </w:p>
    <w:p>
      <w:pPr>
        <w:numPr>
          <w:ilvl w:val="0"/>
          <w:numId w:val="1"/>
        </w:numPr>
        <w:rPr>
          <w:rFonts w:hint="eastAsia" w:cs="Arial" w:asciiTheme="majorEastAsia" w:hAnsiTheme="majorEastAsia" w:eastAsiaTheme="majorEastAsia"/>
          <w:kern w:val="0"/>
          <w:sz w:val="24"/>
          <w:szCs w:val="22"/>
          <w:lang w:val="en-US" w:eastAsia="zh-CN"/>
        </w:rPr>
      </w:pPr>
      <w:r>
        <w:rPr>
          <w:rFonts w:hint="eastAsia" w:ascii="黑体" w:hAnsi="黑体" w:eastAsia="黑体" w:cs="仿宋"/>
          <w:b/>
          <w:bCs/>
          <w:sz w:val="32"/>
          <w:szCs w:val="32"/>
          <w:lang w:val="en-US" w:eastAsia="zh-CN"/>
        </w:rPr>
        <w:t xml:space="preserve">维保周期： </w:t>
      </w:r>
      <w:r>
        <w:rPr>
          <w:rFonts w:hint="eastAsia" w:cs="Arial" w:asciiTheme="majorEastAsia" w:hAnsiTheme="majorEastAsia" w:eastAsiaTheme="majorEastAsia"/>
          <w:kern w:val="0"/>
          <w:sz w:val="24"/>
          <w:szCs w:val="22"/>
          <w:lang w:val="en-US" w:eastAsia="zh-CN"/>
        </w:rPr>
        <w:t>1年；</w:t>
      </w:r>
    </w:p>
    <w:p>
      <w:pPr>
        <w:numPr>
          <w:ilvl w:val="0"/>
          <w:numId w:val="1"/>
        </w:numPr>
        <w:rPr>
          <w:rFonts w:hint="eastAsia" w:cs="Arial" w:asciiTheme="majorEastAsia" w:hAnsiTheme="majorEastAsia" w:eastAsiaTheme="majorEastAsia"/>
          <w:kern w:val="0"/>
          <w:sz w:val="24"/>
          <w:szCs w:val="22"/>
          <w:lang w:val="en-US" w:eastAsia="zh-CN"/>
        </w:rPr>
      </w:pPr>
      <w:r>
        <w:rPr>
          <w:rFonts w:hint="eastAsia" w:ascii="黑体" w:hAnsi="黑体" w:eastAsia="黑体" w:cs="仿宋"/>
          <w:b/>
          <w:bCs/>
          <w:sz w:val="32"/>
          <w:szCs w:val="32"/>
          <w:lang w:val="en-US" w:eastAsia="zh-CN"/>
        </w:rPr>
        <w:t>工期：</w:t>
      </w:r>
      <w:r>
        <w:rPr>
          <w:rFonts w:hint="eastAsia" w:cs="Arial" w:asciiTheme="majorEastAsia" w:hAnsiTheme="majorEastAsia" w:eastAsiaTheme="majorEastAsia"/>
          <w:kern w:val="0"/>
          <w:sz w:val="24"/>
          <w:szCs w:val="22"/>
          <w:lang w:val="en-US" w:eastAsia="zh-CN"/>
        </w:rPr>
        <w:t>180天；</w:t>
      </w:r>
    </w:p>
    <w:p>
      <w:pPr>
        <w:pStyle w:val="2"/>
        <w:spacing w:before="0" w:after="0" w:line="360" w:lineRule="auto"/>
        <w:contextualSpacing/>
        <w:jc w:val="center"/>
        <w:rPr>
          <w:rFonts w:ascii="黑体" w:hAnsi="黑体" w:eastAsia="黑体" w:cs="仿宋"/>
          <w:b/>
          <w:bCs/>
          <w:sz w:val="32"/>
          <w:szCs w:val="32"/>
        </w:rPr>
      </w:pPr>
      <w:r>
        <w:rPr>
          <w:rFonts w:hint="eastAsia" w:ascii="黑体" w:hAnsi="黑体" w:eastAsia="黑体" w:cs="仿宋"/>
          <w:b/>
          <w:bCs/>
          <w:sz w:val="32"/>
          <w:szCs w:val="32"/>
        </w:rPr>
        <w:t>第</w:t>
      </w:r>
      <w:r>
        <w:rPr>
          <w:rFonts w:hint="eastAsia" w:ascii="黑体" w:hAnsi="黑体" w:eastAsia="黑体" w:cs="仿宋"/>
          <w:b/>
          <w:bCs/>
          <w:sz w:val="32"/>
          <w:szCs w:val="32"/>
          <w:lang w:eastAsia="zh-CN"/>
        </w:rPr>
        <w:t>二</w:t>
      </w:r>
      <w:r>
        <w:rPr>
          <w:rFonts w:hint="eastAsia" w:ascii="黑体" w:hAnsi="黑体" w:eastAsia="黑体" w:cs="仿宋"/>
          <w:b/>
          <w:bCs/>
          <w:sz w:val="32"/>
          <w:szCs w:val="32"/>
        </w:rPr>
        <w:t>章 采购需求</w:t>
      </w:r>
      <w:bookmarkEnd w:id="0"/>
      <w:bookmarkEnd w:id="1"/>
    </w:p>
    <w:p>
      <w:pPr>
        <w:rPr>
          <w:rFonts w:hint="default"/>
        </w:rPr>
      </w:pPr>
    </w:p>
    <w:p>
      <w:pPr>
        <w:widowControl/>
        <w:shd w:val="clear" w:color="auto" w:fill="FFFFFF"/>
        <w:spacing w:line="495" w:lineRule="atLeast"/>
        <w:jc w:val="left"/>
        <w:outlineLvl w:val="1"/>
        <w:rPr>
          <w:rFonts w:hint="default" w:ascii="黑体" w:hAnsi="黑体" w:eastAsia="黑体" w:cs="宋体"/>
          <w:b/>
          <w:color w:val="000000"/>
          <w:kern w:val="0"/>
          <w:szCs w:val="32"/>
          <w:shd w:val="clear" w:color="auto" w:fill="FFFFFF"/>
        </w:rPr>
      </w:pPr>
      <w:bookmarkStart w:id="2" w:name="_Toc53217151"/>
      <w:bookmarkStart w:id="3" w:name="_Toc61612424"/>
      <w:r>
        <w:rPr>
          <w:rFonts w:ascii="黑体" w:hAnsi="黑体" w:eastAsia="黑体" w:cs="Arial"/>
          <w:b/>
          <w:kern w:val="0"/>
          <w:szCs w:val="32"/>
        </w:rPr>
        <w:t>一、项目概况</w:t>
      </w:r>
      <w:bookmarkEnd w:id="2"/>
      <w:bookmarkEnd w:id="3"/>
    </w:p>
    <w:p>
      <w:pPr>
        <w:spacing w:line="360" w:lineRule="auto"/>
        <w:ind w:firstLine="480" w:firstLineChars="200"/>
        <w:rPr>
          <w:rFonts w:hint="default" w:cs="Arial" w:asciiTheme="majorEastAsia" w:hAnsiTheme="majorEastAsia" w:eastAsiaTheme="majorEastAsia"/>
          <w:kern w:val="0"/>
          <w:sz w:val="24"/>
        </w:rPr>
      </w:pPr>
      <w:r>
        <w:rPr>
          <w:rFonts w:cs="Arial" w:asciiTheme="majorEastAsia" w:hAnsiTheme="majorEastAsia" w:eastAsiaTheme="majorEastAsia"/>
          <w:kern w:val="0"/>
          <w:sz w:val="24"/>
        </w:rPr>
        <w:t>依据《中华人民共和国网络安全法》《信息安全等级保护管理办法》的相关要求，对蚌埠市第一人民医院重要信息系统进行网络安全等级保护测评，包括：安全技术测评，安全管理测评，工具测试，编制系统安全整改方案，编制和完善安全管理制度等。</w:t>
      </w:r>
    </w:p>
    <w:p>
      <w:pPr>
        <w:widowControl/>
        <w:shd w:val="clear" w:color="auto" w:fill="FFFFFF"/>
        <w:spacing w:line="495" w:lineRule="atLeast"/>
        <w:jc w:val="left"/>
        <w:outlineLvl w:val="1"/>
        <w:rPr>
          <w:rFonts w:hint="default" w:ascii="黑体" w:hAnsi="黑体" w:eastAsia="黑体" w:cs="Arial"/>
          <w:b/>
          <w:kern w:val="0"/>
          <w:szCs w:val="32"/>
        </w:rPr>
      </w:pPr>
      <w:bookmarkStart w:id="4" w:name="_Toc53217152"/>
      <w:bookmarkStart w:id="5" w:name="_Toc61612425"/>
      <w:r>
        <w:rPr>
          <w:rFonts w:ascii="黑体" w:hAnsi="黑体" w:eastAsia="黑体" w:cs="Arial"/>
          <w:b/>
          <w:kern w:val="0"/>
          <w:szCs w:val="32"/>
        </w:rPr>
        <w:t>二、项目实施范围</w:t>
      </w:r>
      <w:bookmarkEnd w:id="4"/>
      <w:bookmarkEnd w:id="5"/>
    </w:p>
    <w:p>
      <w:pPr>
        <w:spacing w:after="217" w:afterLines="50" w:line="360" w:lineRule="auto"/>
        <w:rPr>
          <w:rFonts w:cs="Arial" w:asciiTheme="majorEastAsia" w:hAnsiTheme="majorEastAsia" w:eastAsiaTheme="majorEastAsia"/>
          <w:kern w:val="0"/>
          <w:sz w:val="24"/>
        </w:rPr>
      </w:pPr>
      <w:r>
        <w:rPr>
          <w:rFonts w:cs="Arial" w:asciiTheme="majorEastAsia" w:hAnsiTheme="majorEastAsia" w:eastAsiaTheme="majorEastAsia"/>
          <w:kern w:val="0"/>
          <w:sz w:val="24"/>
        </w:rPr>
        <w:t>本次参于网络安全等级保护测评的系统如下：</w:t>
      </w:r>
    </w:p>
    <w:tbl>
      <w:tblPr>
        <w:tblStyle w:val="5"/>
        <w:tblW w:w="8060" w:type="dxa"/>
        <w:tblInd w:w="845" w:type="dxa"/>
        <w:tblLayout w:type="autofit"/>
        <w:tblCellMar>
          <w:top w:w="0" w:type="dxa"/>
          <w:left w:w="108" w:type="dxa"/>
          <w:bottom w:w="0" w:type="dxa"/>
          <w:right w:w="108" w:type="dxa"/>
        </w:tblCellMar>
      </w:tblPr>
      <w:tblGrid>
        <w:gridCol w:w="1080"/>
        <w:gridCol w:w="3452"/>
        <w:gridCol w:w="2448"/>
        <w:gridCol w:w="1080"/>
      </w:tblGrid>
      <w:tr>
        <w:tblPrEx>
          <w:tblCellMar>
            <w:top w:w="0" w:type="dxa"/>
            <w:left w:w="108" w:type="dxa"/>
            <w:bottom w:w="0" w:type="dxa"/>
            <w:right w:w="108" w:type="dxa"/>
          </w:tblCellMar>
        </w:tblPrEx>
        <w:trPr>
          <w:trHeight w:val="585" w:hRule="atLeast"/>
        </w:trPr>
        <w:tc>
          <w:tcPr>
            <w:tcW w:w="1080" w:type="dxa"/>
            <w:tcBorders>
              <w:top w:val="single" w:color="auto" w:sz="8" w:space="0"/>
              <w:left w:val="single" w:color="auto" w:sz="8" w:space="0"/>
              <w:bottom w:val="single" w:color="auto" w:sz="8" w:space="0"/>
              <w:right w:val="single" w:color="auto" w:sz="8" w:space="0"/>
            </w:tcBorders>
            <w:shd w:val="clear" w:color="000000" w:fill="F2F2F2"/>
          </w:tcPr>
          <w:p>
            <w:pPr>
              <w:widowControl/>
              <w:spacing w:line="360" w:lineRule="auto"/>
              <w:contextualSpacing/>
              <w:jc w:val="center"/>
              <w:rPr>
                <w:rFonts w:hint="default" w:cs="宋体" w:asciiTheme="minorEastAsia" w:hAnsiTheme="minorEastAsia" w:eastAsiaTheme="minorEastAsia"/>
                <w:color w:val="000000"/>
                <w:kern w:val="0"/>
                <w:sz w:val="24"/>
                <w:szCs w:val="24"/>
              </w:rPr>
            </w:pPr>
            <w:r>
              <w:rPr>
                <w:rFonts w:cs="宋体" w:asciiTheme="minorEastAsia" w:hAnsiTheme="minorEastAsia" w:eastAsiaTheme="minorEastAsia"/>
                <w:color w:val="000000"/>
                <w:kern w:val="0"/>
                <w:sz w:val="24"/>
                <w:szCs w:val="24"/>
              </w:rPr>
              <w:t>序号</w:t>
            </w:r>
          </w:p>
        </w:tc>
        <w:tc>
          <w:tcPr>
            <w:tcW w:w="3452" w:type="dxa"/>
            <w:tcBorders>
              <w:top w:val="single" w:color="auto" w:sz="8" w:space="0"/>
              <w:left w:val="nil"/>
              <w:bottom w:val="single" w:color="auto" w:sz="8" w:space="0"/>
              <w:right w:val="single" w:color="auto" w:sz="8" w:space="0"/>
            </w:tcBorders>
            <w:shd w:val="clear" w:color="000000" w:fill="F2F2F2"/>
          </w:tcPr>
          <w:p>
            <w:pPr>
              <w:widowControl/>
              <w:spacing w:line="360" w:lineRule="auto"/>
              <w:contextualSpacing/>
              <w:jc w:val="center"/>
              <w:rPr>
                <w:rFonts w:hint="default" w:cs="宋体" w:asciiTheme="minorEastAsia" w:hAnsiTheme="minorEastAsia" w:eastAsiaTheme="minorEastAsia"/>
                <w:color w:val="000000"/>
                <w:kern w:val="0"/>
                <w:sz w:val="24"/>
                <w:szCs w:val="24"/>
              </w:rPr>
            </w:pPr>
            <w:r>
              <w:rPr>
                <w:rFonts w:cs="宋体" w:asciiTheme="minorEastAsia" w:hAnsiTheme="minorEastAsia" w:eastAsiaTheme="minorEastAsia"/>
                <w:color w:val="000000"/>
                <w:kern w:val="0"/>
                <w:sz w:val="24"/>
                <w:szCs w:val="24"/>
              </w:rPr>
              <w:t>待测系统名称</w:t>
            </w:r>
          </w:p>
        </w:tc>
        <w:tc>
          <w:tcPr>
            <w:tcW w:w="2448" w:type="dxa"/>
            <w:tcBorders>
              <w:top w:val="single" w:color="auto" w:sz="8" w:space="0"/>
              <w:left w:val="nil"/>
              <w:bottom w:val="single" w:color="auto" w:sz="8" w:space="0"/>
              <w:right w:val="single" w:color="auto" w:sz="8" w:space="0"/>
            </w:tcBorders>
            <w:shd w:val="clear" w:color="000000" w:fill="F2F2F2"/>
          </w:tcPr>
          <w:p>
            <w:pPr>
              <w:widowControl/>
              <w:spacing w:line="360" w:lineRule="auto"/>
              <w:contextualSpacing/>
              <w:jc w:val="center"/>
              <w:rPr>
                <w:rFonts w:hint="default" w:cs="宋体" w:asciiTheme="minorEastAsia" w:hAnsiTheme="minorEastAsia" w:eastAsiaTheme="minorEastAsia"/>
                <w:color w:val="000000"/>
                <w:kern w:val="0"/>
                <w:sz w:val="24"/>
                <w:szCs w:val="24"/>
              </w:rPr>
            </w:pPr>
            <w:r>
              <w:rPr>
                <w:rFonts w:cs="宋体" w:asciiTheme="minorEastAsia" w:hAnsiTheme="minorEastAsia" w:eastAsiaTheme="minorEastAsia"/>
                <w:color w:val="000000"/>
                <w:kern w:val="0"/>
                <w:sz w:val="24"/>
                <w:szCs w:val="24"/>
              </w:rPr>
              <w:t>安全保护等级</w:t>
            </w:r>
          </w:p>
        </w:tc>
        <w:tc>
          <w:tcPr>
            <w:tcW w:w="1080" w:type="dxa"/>
            <w:tcBorders>
              <w:top w:val="single" w:color="auto" w:sz="8" w:space="0"/>
              <w:left w:val="nil"/>
              <w:bottom w:val="single" w:color="auto" w:sz="8" w:space="0"/>
              <w:right w:val="single" w:color="auto" w:sz="8" w:space="0"/>
            </w:tcBorders>
            <w:shd w:val="clear" w:color="000000" w:fill="F2F2F2"/>
          </w:tcPr>
          <w:p>
            <w:pPr>
              <w:widowControl/>
              <w:spacing w:line="360" w:lineRule="auto"/>
              <w:contextualSpacing/>
              <w:jc w:val="center"/>
              <w:rPr>
                <w:rFonts w:hint="default" w:cs="宋体" w:asciiTheme="minorEastAsia" w:hAnsiTheme="minorEastAsia" w:eastAsiaTheme="minorEastAsia"/>
                <w:color w:val="000000"/>
                <w:kern w:val="0"/>
                <w:sz w:val="24"/>
                <w:szCs w:val="24"/>
              </w:rPr>
            </w:pPr>
            <w:r>
              <w:rPr>
                <w:rFonts w:cs="宋体" w:asciiTheme="minorEastAsia" w:hAnsiTheme="minorEastAsia" w:eastAsiaTheme="minorEastAsia"/>
                <w:color w:val="000000"/>
                <w:kern w:val="0"/>
                <w:sz w:val="24"/>
                <w:szCs w:val="24"/>
              </w:rPr>
              <w:t>备注</w:t>
            </w:r>
          </w:p>
        </w:tc>
      </w:tr>
      <w:tr>
        <w:tblPrEx>
          <w:tblCellMar>
            <w:top w:w="0" w:type="dxa"/>
            <w:left w:w="108" w:type="dxa"/>
            <w:bottom w:w="0" w:type="dxa"/>
            <w:right w:w="108" w:type="dxa"/>
          </w:tblCellMar>
        </w:tblPrEx>
        <w:trPr>
          <w:trHeight w:val="585" w:hRule="atLeast"/>
        </w:trPr>
        <w:tc>
          <w:tcPr>
            <w:tcW w:w="1080" w:type="dxa"/>
            <w:tcBorders>
              <w:top w:val="nil"/>
              <w:left w:val="single" w:color="auto" w:sz="8" w:space="0"/>
              <w:bottom w:val="nil"/>
              <w:right w:val="single" w:color="auto" w:sz="8" w:space="0"/>
            </w:tcBorders>
            <w:shd w:val="clear" w:color="auto" w:fill="auto"/>
          </w:tcPr>
          <w:p>
            <w:pPr>
              <w:widowControl/>
              <w:spacing w:line="360" w:lineRule="auto"/>
              <w:contextualSpacing/>
              <w:jc w:val="center"/>
              <w:rPr>
                <w:rFonts w:hint="default" w:cs="宋体" w:asciiTheme="minorEastAsia" w:hAnsiTheme="minorEastAsia" w:eastAsiaTheme="minorEastAsia"/>
                <w:color w:val="000000"/>
                <w:kern w:val="0"/>
                <w:sz w:val="24"/>
                <w:szCs w:val="24"/>
              </w:rPr>
            </w:pPr>
            <w:r>
              <w:rPr>
                <w:rFonts w:cs="宋体" w:asciiTheme="minorEastAsia" w:hAnsiTheme="minorEastAsia" w:eastAsiaTheme="minorEastAsia"/>
                <w:color w:val="000000"/>
                <w:kern w:val="0"/>
                <w:sz w:val="24"/>
                <w:szCs w:val="24"/>
              </w:rPr>
              <w:t>1</w:t>
            </w:r>
          </w:p>
        </w:tc>
        <w:tc>
          <w:tcPr>
            <w:tcW w:w="3452" w:type="dxa"/>
            <w:tcBorders>
              <w:top w:val="nil"/>
              <w:left w:val="nil"/>
              <w:bottom w:val="nil"/>
              <w:right w:val="single" w:color="auto" w:sz="8" w:space="0"/>
            </w:tcBorders>
            <w:shd w:val="clear" w:color="auto" w:fill="auto"/>
          </w:tcPr>
          <w:p>
            <w:pPr>
              <w:widowControl/>
              <w:spacing w:line="360" w:lineRule="auto"/>
              <w:contextualSpacing/>
              <w:jc w:val="center"/>
              <w:rPr>
                <w:rFonts w:hint="default" w:cs="宋体" w:asciiTheme="minorEastAsia" w:hAnsiTheme="minorEastAsia" w:eastAsiaTheme="minorEastAsia"/>
                <w:color w:val="000000"/>
                <w:kern w:val="0"/>
                <w:sz w:val="24"/>
                <w:szCs w:val="24"/>
                <w:lang w:val="en-US" w:eastAsia="zh-CN"/>
              </w:rPr>
            </w:pPr>
            <w:r>
              <w:rPr>
                <w:rFonts w:hint="eastAsia" w:cs="宋体" w:asciiTheme="minorEastAsia" w:hAnsiTheme="minorEastAsia" w:eastAsiaTheme="minorEastAsia"/>
                <w:color w:val="000000"/>
                <w:kern w:val="0"/>
                <w:sz w:val="24"/>
                <w:szCs w:val="24"/>
                <w:lang w:val="en-US" w:eastAsia="zh-CN"/>
              </w:rPr>
              <w:t>门户网站</w:t>
            </w:r>
          </w:p>
        </w:tc>
        <w:tc>
          <w:tcPr>
            <w:tcW w:w="2448" w:type="dxa"/>
            <w:tcBorders>
              <w:top w:val="nil"/>
              <w:left w:val="nil"/>
              <w:bottom w:val="nil"/>
              <w:right w:val="single" w:color="auto" w:sz="8" w:space="0"/>
            </w:tcBorders>
            <w:shd w:val="clear" w:color="auto" w:fill="auto"/>
          </w:tcPr>
          <w:p>
            <w:pPr>
              <w:widowControl/>
              <w:spacing w:line="360" w:lineRule="auto"/>
              <w:contextualSpacing/>
              <w:jc w:val="center"/>
              <w:rPr>
                <w:rFonts w:hint="eastAsia" w:cs="宋体" w:asciiTheme="minorEastAsia" w:hAnsiTheme="minorEastAsia" w:eastAsiaTheme="minorEastAsia"/>
                <w:color w:val="000000"/>
                <w:kern w:val="0"/>
                <w:sz w:val="24"/>
                <w:szCs w:val="24"/>
                <w:lang w:val="en-US" w:eastAsia="zh-CN"/>
              </w:rPr>
            </w:pPr>
            <w:r>
              <w:rPr>
                <w:rFonts w:hint="eastAsia" w:cs="宋体" w:asciiTheme="minorEastAsia" w:hAnsiTheme="minorEastAsia" w:eastAsiaTheme="minorEastAsia"/>
                <w:color w:val="000000"/>
                <w:kern w:val="0"/>
                <w:sz w:val="24"/>
                <w:szCs w:val="24"/>
                <w:lang w:val="en-US" w:eastAsia="zh-CN"/>
              </w:rPr>
              <w:t>二级</w:t>
            </w:r>
          </w:p>
        </w:tc>
        <w:tc>
          <w:tcPr>
            <w:tcW w:w="1080" w:type="dxa"/>
            <w:tcBorders>
              <w:top w:val="nil"/>
              <w:left w:val="nil"/>
              <w:bottom w:val="nil"/>
              <w:right w:val="single" w:color="auto" w:sz="8" w:space="0"/>
            </w:tcBorders>
            <w:shd w:val="clear" w:color="auto" w:fill="auto"/>
          </w:tcPr>
          <w:p>
            <w:pPr>
              <w:widowControl/>
              <w:spacing w:line="360" w:lineRule="auto"/>
              <w:contextualSpacing/>
              <w:rPr>
                <w:rFonts w:hint="default" w:cs="宋体" w:asciiTheme="minorEastAsia" w:hAnsiTheme="minorEastAsia" w:eastAsiaTheme="minorEastAsia"/>
                <w:color w:val="000000"/>
                <w:kern w:val="0"/>
                <w:sz w:val="24"/>
                <w:szCs w:val="24"/>
              </w:rPr>
            </w:pPr>
          </w:p>
        </w:tc>
      </w:tr>
      <w:tr>
        <w:tblPrEx>
          <w:tblCellMar>
            <w:top w:w="0" w:type="dxa"/>
            <w:left w:w="108" w:type="dxa"/>
            <w:bottom w:w="0" w:type="dxa"/>
            <w:right w:w="108" w:type="dxa"/>
          </w:tblCellMar>
        </w:tblPrEx>
        <w:trPr>
          <w:trHeight w:val="585" w:hRule="atLeast"/>
        </w:trPr>
        <w:tc>
          <w:tcPr>
            <w:tcW w:w="1080" w:type="dxa"/>
            <w:tcBorders>
              <w:top w:val="nil"/>
              <w:left w:val="single" w:color="auto" w:sz="8" w:space="0"/>
              <w:bottom w:val="nil"/>
              <w:right w:val="single" w:color="auto" w:sz="8" w:space="0"/>
            </w:tcBorders>
            <w:shd w:val="clear" w:color="auto" w:fill="auto"/>
          </w:tcPr>
          <w:p>
            <w:pPr>
              <w:widowControl/>
              <w:spacing w:line="360" w:lineRule="auto"/>
              <w:contextualSpacing/>
              <w:jc w:val="center"/>
              <w:rPr>
                <w:rFonts w:hint="eastAsia" w:cs="宋体" w:asciiTheme="minorEastAsia" w:hAnsiTheme="minorEastAsia" w:eastAsiaTheme="minorEastAsia"/>
                <w:color w:val="000000"/>
                <w:kern w:val="0"/>
                <w:sz w:val="24"/>
                <w:szCs w:val="24"/>
                <w:lang w:val="en-US" w:eastAsia="zh-CN"/>
              </w:rPr>
            </w:pPr>
            <w:r>
              <w:rPr>
                <w:rFonts w:hint="eastAsia" w:cs="宋体" w:asciiTheme="minorEastAsia" w:hAnsiTheme="minorEastAsia" w:eastAsiaTheme="minorEastAsia"/>
                <w:color w:val="000000"/>
                <w:kern w:val="0"/>
                <w:sz w:val="24"/>
                <w:szCs w:val="24"/>
                <w:lang w:val="en-US" w:eastAsia="zh-CN"/>
              </w:rPr>
              <w:t>2</w:t>
            </w:r>
          </w:p>
        </w:tc>
        <w:tc>
          <w:tcPr>
            <w:tcW w:w="3452" w:type="dxa"/>
            <w:tcBorders>
              <w:top w:val="nil"/>
              <w:left w:val="nil"/>
              <w:bottom w:val="nil"/>
              <w:right w:val="single" w:color="auto" w:sz="8" w:space="0"/>
            </w:tcBorders>
            <w:shd w:val="clear" w:color="auto" w:fill="auto"/>
          </w:tcPr>
          <w:p>
            <w:pPr>
              <w:widowControl/>
              <w:spacing w:line="360" w:lineRule="auto"/>
              <w:contextualSpacing/>
              <w:jc w:val="center"/>
              <w:rPr>
                <w:rFonts w:hint="default" w:cs="宋体" w:asciiTheme="minorEastAsia" w:hAnsiTheme="minorEastAsia" w:eastAsiaTheme="minorEastAsia"/>
                <w:color w:val="000000"/>
                <w:kern w:val="0"/>
                <w:sz w:val="24"/>
                <w:szCs w:val="24"/>
                <w:lang w:val="en-US" w:eastAsia="zh-CN"/>
              </w:rPr>
            </w:pPr>
            <w:bookmarkStart w:id="45" w:name="_GoBack"/>
            <w:bookmarkEnd w:id="45"/>
            <w:r>
              <w:rPr>
                <w:rFonts w:hint="eastAsia" w:cs="宋体" w:asciiTheme="minorEastAsia" w:hAnsiTheme="minorEastAsia" w:eastAsiaTheme="minorEastAsia"/>
                <w:color w:val="000000"/>
                <w:kern w:val="0"/>
                <w:sz w:val="24"/>
                <w:szCs w:val="24"/>
                <w:lang w:val="en-US" w:eastAsia="zh-CN"/>
              </w:rPr>
              <w:t>医疗信息系统</w:t>
            </w:r>
          </w:p>
        </w:tc>
        <w:tc>
          <w:tcPr>
            <w:tcW w:w="2448" w:type="dxa"/>
            <w:tcBorders>
              <w:top w:val="nil"/>
              <w:left w:val="nil"/>
              <w:bottom w:val="nil"/>
              <w:right w:val="single" w:color="auto" w:sz="8" w:space="0"/>
            </w:tcBorders>
            <w:shd w:val="clear" w:color="auto" w:fill="auto"/>
          </w:tcPr>
          <w:p>
            <w:pPr>
              <w:widowControl/>
              <w:spacing w:line="360" w:lineRule="auto"/>
              <w:contextualSpacing/>
              <w:jc w:val="center"/>
              <w:rPr>
                <w:rFonts w:hint="default" w:cs="宋体" w:asciiTheme="minorEastAsia" w:hAnsiTheme="minorEastAsia" w:eastAsiaTheme="minorEastAsia"/>
                <w:color w:val="000000"/>
                <w:kern w:val="0"/>
                <w:sz w:val="24"/>
                <w:szCs w:val="24"/>
                <w:lang w:val="en-US" w:eastAsia="zh-CN"/>
              </w:rPr>
            </w:pPr>
            <w:r>
              <w:rPr>
                <w:rFonts w:hint="eastAsia" w:cs="宋体" w:asciiTheme="minorEastAsia" w:hAnsiTheme="minorEastAsia" w:eastAsiaTheme="minorEastAsia"/>
                <w:color w:val="000000"/>
                <w:kern w:val="0"/>
                <w:sz w:val="24"/>
                <w:szCs w:val="24"/>
                <w:lang w:val="en-US" w:eastAsia="zh-CN"/>
              </w:rPr>
              <w:t>三级</w:t>
            </w:r>
          </w:p>
        </w:tc>
        <w:tc>
          <w:tcPr>
            <w:tcW w:w="1080" w:type="dxa"/>
            <w:tcBorders>
              <w:top w:val="nil"/>
              <w:left w:val="nil"/>
              <w:bottom w:val="nil"/>
              <w:right w:val="single" w:color="auto" w:sz="8" w:space="0"/>
            </w:tcBorders>
            <w:shd w:val="clear" w:color="auto" w:fill="auto"/>
          </w:tcPr>
          <w:p>
            <w:pPr>
              <w:widowControl/>
              <w:spacing w:line="360" w:lineRule="auto"/>
              <w:contextualSpacing/>
              <w:rPr>
                <w:rFonts w:hint="default" w:cs="宋体" w:asciiTheme="minorEastAsia" w:hAnsiTheme="minorEastAsia" w:eastAsiaTheme="minorEastAsia"/>
                <w:color w:val="000000"/>
                <w:kern w:val="0"/>
                <w:sz w:val="24"/>
                <w:szCs w:val="24"/>
              </w:rPr>
            </w:pPr>
          </w:p>
        </w:tc>
      </w:tr>
      <w:tr>
        <w:tblPrEx>
          <w:tblCellMar>
            <w:top w:w="0" w:type="dxa"/>
            <w:left w:w="108" w:type="dxa"/>
            <w:bottom w:w="0" w:type="dxa"/>
            <w:right w:w="108" w:type="dxa"/>
          </w:tblCellMar>
        </w:tblPrEx>
        <w:trPr>
          <w:trHeight w:val="585" w:hRule="atLeast"/>
        </w:trPr>
        <w:tc>
          <w:tcPr>
            <w:tcW w:w="1080" w:type="dxa"/>
            <w:tcBorders>
              <w:top w:val="nil"/>
              <w:left w:val="single" w:color="auto" w:sz="8" w:space="0"/>
              <w:bottom w:val="single" w:color="auto" w:sz="4" w:space="0"/>
              <w:right w:val="single" w:color="auto" w:sz="8" w:space="0"/>
            </w:tcBorders>
            <w:shd w:val="clear" w:color="auto" w:fill="auto"/>
          </w:tcPr>
          <w:p>
            <w:pPr>
              <w:widowControl/>
              <w:spacing w:line="360" w:lineRule="auto"/>
              <w:contextualSpacing/>
              <w:jc w:val="center"/>
              <w:rPr>
                <w:rFonts w:hint="default" w:cs="宋体" w:asciiTheme="minorEastAsia" w:hAnsiTheme="minorEastAsia" w:eastAsiaTheme="minorEastAsia"/>
                <w:color w:val="000000"/>
                <w:kern w:val="0"/>
                <w:sz w:val="24"/>
                <w:szCs w:val="24"/>
                <w:lang w:val="en-US" w:eastAsia="zh-CN"/>
              </w:rPr>
            </w:pPr>
            <w:r>
              <w:rPr>
                <w:rFonts w:hint="eastAsia" w:cs="宋体" w:asciiTheme="minorEastAsia" w:hAnsiTheme="minorEastAsia" w:eastAsiaTheme="minorEastAsia"/>
                <w:color w:val="000000"/>
                <w:kern w:val="0"/>
                <w:sz w:val="24"/>
                <w:szCs w:val="24"/>
                <w:lang w:val="en-US" w:eastAsia="zh-CN"/>
              </w:rPr>
              <w:t>3</w:t>
            </w:r>
          </w:p>
        </w:tc>
        <w:tc>
          <w:tcPr>
            <w:tcW w:w="3452" w:type="dxa"/>
            <w:tcBorders>
              <w:top w:val="nil"/>
              <w:left w:val="nil"/>
              <w:bottom w:val="single" w:color="auto" w:sz="4" w:space="0"/>
              <w:right w:val="single" w:color="auto" w:sz="8" w:space="0"/>
            </w:tcBorders>
            <w:shd w:val="clear" w:color="auto" w:fill="auto"/>
          </w:tcPr>
          <w:p>
            <w:pPr>
              <w:widowControl/>
              <w:spacing w:line="360" w:lineRule="auto"/>
              <w:contextualSpacing/>
              <w:jc w:val="center"/>
              <w:rPr>
                <w:rFonts w:hint="default" w:cs="宋体" w:asciiTheme="minorEastAsia" w:hAnsiTheme="minorEastAsia" w:eastAsiaTheme="minorEastAsia"/>
                <w:color w:val="000000"/>
                <w:kern w:val="0"/>
                <w:sz w:val="24"/>
                <w:szCs w:val="24"/>
                <w:lang w:val="en-US" w:eastAsia="zh-CN"/>
              </w:rPr>
            </w:pPr>
            <w:r>
              <w:rPr>
                <w:rFonts w:hint="eastAsia" w:cs="宋体" w:asciiTheme="minorEastAsia" w:hAnsiTheme="minorEastAsia" w:eastAsiaTheme="minorEastAsia"/>
                <w:color w:val="000000"/>
                <w:kern w:val="0"/>
                <w:sz w:val="24"/>
                <w:szCs w:val="24"/>
                <w:lang w:val="en-US" w:eastAsia="zh-CN"/>
              </w:rPr>
              <w:t>互联网医院</w:t>
            </w:r>
          </w:p>
        </w:tc>
        <w:tc>
          <w:tcPr>
            <w:tcW w:w="2448" w:type="dxa"/>
            <w:tcBorders>
              <w:top w:val="nil"/>
              <w:left w:val="nil"/>
              <w:bottom w:val="single" w:color="auto" w:sz="4" w:space="0"/>
              <w:right w:val="single" w:color="auto" w:sz="8" w:space="0"/>
            </w:tcBorders>
            <w:shd w:val="clear" w:color="auto" w:fill="auto"/>
          </w:tcPr>
          <w:p>
            <w:pPr>
              <w:widowControl/>
              <w:spacing w:line="360" w:lineRule="auto"/>
              <w:contextualSpacing/>
              <w:jc w:val="center"/>
              <w:rPr>
                <w:rFonts w:hint="default" w:cs="宋体" w:asciiTheme="minorEastAsia" w:hAnsiTheme="minorEastAsia" w:eastAsiaTheme="minorEastAsia"/>
                <w:color w:val="000000"/>
                <w:kern w:val="0"/>
                <w:sz w:val="24"/>
                <w:szCs w:val="24"/>
                <w:lang w:val="en-US" w:eastAsia="zh-CN"/>
              </w:rPr>
            </w:pPr>
            <w:r>
              <w:rPr>
                <w:rFonts w:hint="eastAsia" w:cs="宋体" w:asciiTheme="minorEastAsia" w:hAnsiTheme="minorEastAsia" w:eastAsiaTheme="minorEastAsia"/>
                <w:color w:val="000000"/>
                <w:kern w:val="0"/>
                <w:sz w:val="24"/>
                <w:szCs w:val="24"/>
                <w:lang w:val="en-US" w:eastAsia="zh-CN"/>
              </w:rPr>
              <w:t>三级</w:t>
            </w:r>
          </w:p>
        </w:tc>
        <w:tc>
          <w:tcPr>
            <w:tcW w:w="1080" w:type="dxa"/>
            <w:tcBorders>
              <w:top w:val="nil"/>
              <w:left w:val="nil"/>
              <w:bottom w:val="single" w:color="auto" w:sz="4" w:space="0"/>
              <w:right w:val="single" w:color="auto" w:sz="8" w:space="0"/>
            </w:tcBorders>
            <w:shd w:val="clear" w:color="auto" w:fill="auto"/>
          </w:tcPr>
          <w:p>
            <w:pPr>
              <w:widowControl/>
              <w:spacing w:line="360" w:lineRule="auto"/>
              <w:contextualSpacing/>
              <w:rPr>
                <w:rFonts w:hint="default" w:cs="宋体" w:asciiTheme="minorEastAsia" w:hAnsiTheme="minorEastAsia" w:eastAsiaTheme="minorEastAsia"/>
                <w:color w:val="000000"/>
                <w:kern w:val="0"/>
                <w:sz w:val="24"/>
                <w:szCs w:val="24"/>
              </w:rPr>
            </w:pPr>
          </w:p>
        </w:tc>
      </w:tr>
    </w:tbl>
    <w:p>
      <w:pPr>
        <w:spacing w:after="217" w:afterLines="50" w:line="360" w:lineRule="auto"/>
        <w:rPr>
          <w:rFonts w:hint="default" w:cs="Arial" w:asciiTheme="majorEastAsia" w:hAnsiTheme="majorEastAsia" w:eastAsiaTheme="majorEastAsia"/>
          <w:kern w:val="0"/>
          <w:sz w:val="24"/>
        </w:rPr>
      </w:pPr>
    </w:p>
    <w:p>
      <w:pPr>
        <w:widowControl/>
        <w:shd w:val="clear" w:color="auto" w:fill="FFFFFF"/>
        <w:spacing w:before="240" w:after="120" w:line="480" w:lineRule="atLeast"/>
        <w:jc w:val="left"/>
        <w:outlineLvl w:val="1"/>
        <w:rPr>
          <w:rFonts w:hint="default" w:ascii="黑体" w:hAnsi="黑体" w:eastAsia="黑体" w:cs="Arial"/>
          <w:b/>
          <w:kern w:val="0"/>
          <w:szCs w:val="32"/>
        </w:rPr>
      </w:pPr>
      <w:bookmarkStart w:id="6" w:name="_Toc53217153"/>
      <w:bookmarkStart w:id="7" w:name="_Toc61612426"/>
      <w:r>
        <w:rPr>
          <w:rFonts w:ascii="黑体" w:hAnsi="黑体" w:eastAsia="黑体" w:cs="Arial"/>
          <w:b/>
          <w:kern w:val="0"/>
          <w:szCs w:val="32"/>
        </w:rPr>
        <w:t>三、指导思想和基本准则</w:t>
      </w:r>
      <w:bookmarkEnd w:id="6"/>
      <w:bookmarkEnd w:id="7"/>
    </w:p>
    <w:p>
      <w:pPr>
        <w:pStyle w:val="7"/>
        <w:spacing w:line="360" w:lineRule="auto"/>
        <w:ind w:firstLine="480" w:firstLineChars="200"/>
        <w:rPr>
          <w:rFonts w:hAnsi="宋体" w:cs="Arial"/>
          <w:color w:val="auto"/>
          <w:kern w:val="2"/>
        </w:rPr>
      </w:pPr>
      <w:r>
        <w:rPr>
          <w:rFonts w:hint="eastAsia" w:hAnsi="宋体" w:cs="Arial"/>
          <w:color w:val="auto"/>
          <w:kern w:val="2"/>
        </w:rPr>
        <w:t>根据公安部、国家保密局、国家密码管理局、国信办联合印发的《信息系统安全等级保护管理办法》（公通字〔2007〕43号）、《关于信息系统安全等级保护工作的实施意见》（公通字〔2004〕66号）、《关于开展全国重要信息系统安全等级保护定级工作的通知》（公信安〔2007〕861 号）、公安部《关于开展信息安全等级保护安全建设整改工作的指导意见》（公信安[2009]1429号）、国家发改委《关于加强国家电子政务工程建设项目信息安全风险评估工作的通知》（发改高技[2008]2071号），以及安徽省发改委《关于加强国家电子政务工程建设项目信息安全风险评估工作的通知》（发改高技[2008]967号）等文件精神，按照《审计署办公厅关于地方审计机关信息系统安全等级保护工作有关问题的通知》（审办计发[2012]105号）要求，结合</w:t>
      </w:r>
      <w:r>
        <w:rPr>
          <w:rFonts w:hAnsi="宋体" w:cs="Arial"/>
          <w:color w:val="auto"/>
          <w:kern w:val="2"/>
        </w:rPr>
        <w:t>蚌埠市第一人民医院</w:t>
      </w:r>
      <w:r>
        <w:rPr>
          <w:rFonts w:hint="eastAsia" w:hAnsi="宋体" w:cs="Arial"/>
          <w:color w:val="auto"/>
          <w:kern w:val="2"/>
        </w:rPr>
        <w:t>工作实际，现拟对</w:t>
      </w:r>
      <w:r>
        <w:rPr>
          <w:rFonts w:hAnsi="宋体" w:cs="Arial"/>
          <w:color w:val="auto"/>
          <w:kern w:val="2"/>
        </w:rPr>
        <w:t>蚌埠市第一人民医院</w:t>
      </w:r>
      <w:r>
        <w:rPr>
          <w:rFonts w:hint="eastAsia" w:hAnsi="宋体" w:cs="Arial"/>
          <w:color w:val="auto"/>
          <w:kern w:val="2"/>
        </w:rPr>
        <w:t>重要信息系统实施网络安全等级保护测评，以进一步完善信息系统安全管理体系和技术防护体系，切实提高系统信息安全防护能力，为审计信息化建设的健康有序发展提供可靠保障。</w:t>
      </w:r>
    </w:p>
    <w:p>
      <w:pPr>
        <w:widowControl/>
        <w:shd w:val="clear" w:color="auto" w:fill="FFFFFF"/>
        <w:spacing w:before="240" w:after="120" w:line="480" w:lineRule="atLeast"/>
        <w:jc w:val="left"/>
        <w:outlineLvl w:val="1"/>
        <w:rPr>
          <w:rFonts w:hint="default" w:ascii="黑体" w:hAnsi="黑体" w:eastAsia="黑体" w:cs="Arial"/>
          <w:b/>
          <w:kern w:val="0"/>
          <w:szCs w:val="32"/>
        </w:rPr>
      </w:pPr>
      <w:bookmarkStart w:id="8" w:name="_Toc53217154"/>
      <w:bookmarkStart w:id="9" w:name="_Toc61612427"/>
      <w:r>
        <w:rPr>
          <w:rFonts w:ascii="黑体" w:hAnsi="黑体" w:eastAsia="黑体" w:cs="Arial"/>
          <w:b/>
          <w:kern w:val="0"/>
          <w:szCs w:val="32"/>
        </w:rPr>
        <w:t>四、等级保护测评主要包括以下几个方面：</w:t>
      </w:r>
      <w:bookmarkEnd w:id="8"/>
      <w:bookmarkEnd w:id="9"/>
    </w:p>
    <w:p>
      <w:pPr>
        <w:pStyle w:val="3"/>
        <w:numPr>
          <w:ilvl w:val="0"/>
          <w:numId w:val="2"/>
        </w:numPr>
        <w:spacing w:before="240" w:after="120" w:line="360" w:lineRule="auto"/>
        <w:ind w:left="0" w:firstLine="482" w:firstLineChars="200"/>
        <w:rPr>
          <w:rFonts w:ascii="宋体" w:hAnsi="宋体"/>
          <w:b/>
          <w:sz w:val="24"/>
          <w:szCs w:val="24"/>
        </w:rPr>
      </w:pPr>
      <w:bookmarkStart w:id="10" w:name="_Toc46177951"/>
      <w:bookmarkStart w:id="11" w:name="_Hlk35596349"/>
      <w:r>
        <w:rPr>
          <w:rFonts w:hint="eastAsia" w:asciiTheme="majorEastAsia" w:hAnsiTheme="majorEastAsia" w:eastAsiaTheme="majorEastAsia"/>
          <w:b/>
          <w:sz w:val="24"/>
          <w:szCs w:val="24"/>
        </w:rPr>
        <w:t>等</w:t>
      </w:r>
      <w:r>
        <w:rPr>
          <w:rFonts w:hint="eastAsia" w:ascii="宋体" w:hAnsi="宋体"/>
          <w:b/>
          <w:sz w:val="24"/>
          <w:szCs w:val="24"/>
        </w:rPr>
        <w:t>保测评：</w:t>
      </w:r>
      <w:r>
        <w:rPr>
          <w:rFonts w:hint="eastAsia" w:ascii="宋体" w:hAnsi="宋体"/>
          <w:bCs/>
          <w:sz w:val="24"/>
          <w:szCs w:val="24"/>
        </w:rPr>
        <w:t>完成包括安全物理环境、安全计算环境、安全区域边界、安全通信网络、安全管理中心和安全管理机构、安全管理制度、安全管理人员、安全建设管理和安全运维管理方面的测评工作；</w:t>
      </w:r>
      <w:bookmarkEnd w:id="10"/>
    </w:p>
    <w:p>
      <w:pPr>
        <w:pStyle w:val="3"/>
        <w:numPr>
          <w:ilvl w:val="0"/>
          <w:numId w:val="2"/>
        </w:numPr>
        <w:spacing w:before="240" w:after="120" w:line="360" w:lineRule="auto"/>
        <w:ind w:left="0" w:firstLine="482" w:firstLineChars="200"/>
        <w:rPr>
          <w:rFonts w:ascii="宋体" w:hAnsi="宋体"/>
          <w:b/>
          <w:sz w:val="24"/>
          <w:szCs w:val="24"/>
        </w:rPr>
      </w:pPr>
      <w:bookmarkStart w:id="12" w:name="_Toc46177952"/>
      <w:r>
        <w:rPr>
          <w:rFonts w:hint="eastAsia" w:ascii="宋体" w:hAnsi="宋体"/>
          <w:b/>
          <w:sz w:val="24"/>
          <w:szCs w:val="24"/>
        </w:rPr>
        <w:t>工具测试：</w:t>
      </w:r>
      <w:r>
        <w:rPr>
          <w:rFonts w:hint="eastAsia" w:ascii="宋体" w:hAnsi="宋体"/>
          <w:bCs/>
          <w:sz w:val="24"/>
          <w:szCs w:val="24"/>
        </w:rPr>
        <w:t>针对重要信息系统进行定期的漏洞扫描、渗透测试等安全服务工作；</w:t>
      </w:r>
      <w:bookmarkEnd w:id="12"/>
    </w:p>
    <w:p>
      <w:pPr>
        <w:pStyle w:val="3"/>
        <w:numPr>
          <w:ilvl w:val="0"/>
          <w:numId w:val="2"/>
        </w:numPr>
        <w:spacing w:before="240" w:after="120" w:line="360" w:lineRule="auto"/>
        <w:ind w:left="0" w:firstLine="482" w:firstLineChars="200"/>
        <w:rPr>
          <w:rFonts w:ascii="宋体" w:hAnsi="宋体"/>
          <w:b/>
          <w:sz w:val="24"/>
          <w:szCs w:val="24"/>
        </w:rPr>
      </w:pPr>
      <w:bookmarkStart w:id="13" w:name="_Toc46177953"/>
      <w:r>
        <w:rPr>
          <w:rFonts w:hint="eastAsia" w:ascii="宋体" w:hAnsi="宋体"/>
          <w:b/>
          <w:sz w:val="24"/>
          <w:szCs w:val="24"/>
        </w:rPr>
        <w:t>整改建议：</w:t>
      </w:r>
      <w:r>
        <w:rPr>
          <w:rFonts w:hint="eastAsia" w:ascii="宋体" w:hAnsi="宋体"/>
          <w:bCs/>
          <w:sz w:val="24"/>
          <w:szCs w:val="24"/>
        </w:rPr>
        <w:t>投标人应根据现场测评中发现的问题，分析与GB/T 22239-2019、ISO/IEC 27001、ISO/IEC 20000、ISO 22301、ITIL和ITSS等行业最佳实践之间的差距，按照网络安全等级保护标准要求提出安全整改建议；</w:t>
      </w:r>
      <w:bookmarkEnd w:id="13"/>
    </w:p>
    <w:p>
      <w:pPr>
        <w:pStyle w:val="3"/>
        <w:numPr>
          <w:ilvl w:val="0"/>
          <w:numId w:val="2"/>
        </w:numPr>
        <w:spacing w:before="240" w:after="120" w:line="360" w:lineRule="auto"/>
        <w:ind w:left="0" w:firstLine="482" w:firstLineChars="200"/>
        <w:rPr>
          <w:rFonts w:ascii="宋体" w:hAnsi="宋体"/>
          <w:b/>
          <w:sz w:val="24"/>
          <w:szCs w:val="24"/>
        </w:rPr>
      </w:pPr>
      <w:bookmarkStart w:id="14" w:name="_Toc46177954"/>
      <w:r>
        <w:rPr>
          <w:rFonts w:hint="eastAsia" w:ascii="宋体" w:hAnsi="宋体"/>
          <w:b/>
          <w:sz w:val="24"/>
          <w:szCs w:val="24"/>
        </w:rPr>
        <w:t>编制测评报告：</w:t>
      </w:r>
      <w:r>
        <w:rPr>
          <w:rFonts w:hint="eastAsia" w:ascii="宋体" w:hAnsi="宋体"/>
          <w:bCs/>
          <w:sz w:val="24"/>
          <w:szCs w:val="24"/>
        </w:rPr>
        <w:t>完成上述测评工作和整改加固实施后，投标人最后出具符合标准要求的各信息系统网络安全等级保护测评报告。</w:t>
      </w:r>
      <w:bookmarkEnd w:id="11"/>
      <w:bookmarkEnd w:id="14"/>
    </w:p>
    <w:p>
      <w:pPr>
        <w:pStyle w:val="3"/>
        <w:numPr>
          <w:ilvl w:val="0"/>
          <w:numId w:val="2"/>
        </w:numPr>
        <w:spacing w:before="240" w:after="120" w:line="360" w:lineRule="auto"/>
        <w:ind w:left="0" w:firstLine="482" w:firstLineChars="200"/>
        <w:rPr>
          <w:rFonts w:ascii="宋体" w:hAnsi="宋体"/>
          <w:b/>
          <w:sz w:val="24"/>
          <w:szCs w:val="24"/>
        </w:rPr>
      </w:pPr>
      <w:r>
        <w:rPr>
          <w:rFonts w:hint="eastAsia" w:ascii="宋体" w:hAnsi="宋体"/>
          <w:b/>
          <w:sz w:val="24"/>
          <w:szCs w:val="24"/>
        </w:rPr>
        <w:t>编制和完善安全管理制度。依据《信息系统安全等级保护基本要求》和《信息系统等级保护安全设计技术要求》，协助蚌埠市第</w:t>
      </w:r>
      <w:r>
        <w:rPr>
          <w:rFonts w:hint="eastAsia" w:ascii="宋体" w:hAnsi="宋体"/>
          <w:b/>
          <w:sz w:val="24"/>
          <w:szCs w:val="24"/>
          <w:lang w:val="en-US" w:eastAsia="zh-CN"/>
        </w:rPr>
        <w:t>一</w:t>
      </w:r>
      <w:r>
        <w:rPr>
          <w:rFonts w:hint="eastAsia" w:ascii="宋体" w:hAnsi="宋体"/>
          <w:b/>
          <w:sz w:val="24"/>
          <w:szCs w:val="24"/>
        </w:rPr>
        <w:t>人民医院制订和完善各项信息安全管理制度，规范信息安全日常管理工作，提高信息安全基础管理水平。</w:t>
      </w:r>
    </w:p>
    <w:p>
      <w:pPr>
        <w:widowControl/>
        <w:shd w:val="clear" w:color="auto" w:fill="FFFFFF"/>
        <w:spacing w:before="240" w:after="120" w:line="480" w:lineRule="atLeast"/>
        <w:jc w:val="left"/>
        <w:outlineLvl w:val="1"/>
        <w:rPr>
          <w:rFonts w:hint="default" w:ascii="黑体" w:hAnsi="黑体" w:eastAsia="黑体" w:cs="Arial"/>
          <w:b/>
          <w:kern w:val="0"/>
          <w:szCs w:val="32"/>
        </w:rPr>
      </w:pPr>
      <w:bookmarkStart w:id="15" w:name="_Toc53217155"/>
      <w:bookmarkStart w:id="16" w:name="_Toc61612428"/>
      <w:r>
        <w:rPr>
          <w:rFonts w:ascii="黑体" w:hAnsi="黑体" w:eastAsia="黑体" w:cs="Arial"/>
          <w:b/>
          <w:kern w:val="0"/>
          <w:szCs w:val="32"/>
        </w:rPr>
        <w:t>五、信息安全培训：</w:t>
      </w:r>
      <w:bookmarkEnd w:id="15"/>
      <w:bookmarkEnd w:id="16"/>
    </w:p>
    <w:p>
      <w:pPr>
        <w:spacing w:line="360" w:lineRule="auto"/>
        <w:ind w:firstLine="480" w:firstLineChars="200"/>
        <w:rPr>
          <w:rFonts w:ascii="宋体" w:hAnsi="宋体" w:eastAsia="宋体"/>
          <w:sz w:val="24"/>
          <w:szCs w:val="24"/>
        </w:rPr>
      </w:pPr>
      <w:r>
        <w:rPr>
          <w:rFonts w:ascii="宋体" w:hAnsi="宋体" w:eastAsia="宋体"/>
          <w:sz w:val="24"/>
          <w:szCs w:val="24"/>
        </w:rPr>
        <w:t>投标人需要为采购方提供线下、在服务期内不少于每年</w:t>
      </w:r>
      <w:r>
        <w:rPr>
          <w:rFonts w:hint="eastAsia" w:ascii="宋体" w:hAnsi="宋体" w:eastAsia="宋体"/>
          <w:sz w:val="24"/>
          <w:szCs w:val="24"/>
          <w:lang w:val="en-US" w:eastAsia="zh-CN"/>
        </w:rPr>
        <w:t>4</w:t>
      </w:r>
      <w:r>
        <w:rPr>
          <w:rFonts w:ascii="宋体" w:hAnsi="宋体" w:eastAsia="宋体"/>
          <w:sz w:val="24"/>
          <w:szCs w:val="24"/>
        </w:rPr>
        <w:t xml:space="preserve">次的信息安全技术培训，确保管理人员和技术人员掌握关于信息系统等级保护相关规范、信息安全策略、信息保密制度，信息安全管理制度和相关流程等；为了全面提升采购方信息化人才队伍的安全意识和专业技能水平。 </w:t>
      </w:r>
    </w:p>
    <w:p>
      <w:pPr>
        <w:widowControl/>
        <w:shd w:val="clear" w:color="auto" w:fill="FFFFFF"/>
        <w:spacing w:before="240" w:after="120" w:line="480" w:lineRule="atLeast"/>
        <w:jc w:val="left"/>
        <w:outlineLvl w:val="1"/>
        <w:rPr>
          <w:rFonts w:ascii="黑体" w:hAnsi="黑体" w:eastAsia="黑体" w:cs="Arial"/>
          <w:b/>
          <w:kern w:val="0"/>
          <w:szCs w:val="32"/>
        </w:rPr>
      </w:pPr>
      <w:r>
        <w:rPr>
          <w:rFonts w:hint="eastAsia" w:ascii="黑体" w:hAnsi="黑体" w:eastAsia="黑体" w:cs="Arial"/>
          <w:b/>
          <w:kern w:val="0"/>
          <w:szCs w:val="32"/>
          <w:lang w:val="en-US" w:eastAsia="zh-CN"/>
        </w:rPr>
        <w:t xml:space="preserve">六、安全巡检服务 </w:t>
      </w:r>
    </w:p>
    <w:p>
      <w:pPr>
        <w:keepNext w:val="0"/>
        <w:keepLines w:val="0"/>
        <w:widowControl/>
        <w:suppressLineNumbers w:val="0"/>
        <w:jc w:val="left"/>
        <w:rPr>
          <w:rFonts w:hint="default"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1.定期安排技术人员对蚌埠市第一人民医院被测系统信息安全状态进行检查，对服务器、 网络设备、信息系统进行漏洞扫描，定期对被测系统进行一次渗透测试，对漏洞危害进行分析。</w:t>
      </w:r>
    </w:p>
    <w:p>
      <w:pPr>
        <w:keepNext w:val="0"/>
        <w:keepLines w:val="0"/>
        <w:widowControl/>
        <w:suppressLineNumbers w:val="0"/>
        <w:jc w:val="left"/>
      </w:pPr>
      <w:r>
        <w:rPr>
          <w:rFonts w:hint="eastAsia" w:ascii="宋体" w:hAnsi="宋体" w:eastAsia="宋体" w:cs="宋体"/>
          <w:color w:val="000000"/>
          <w:kern w:val="0"/>
          <w:sz w:val="24"/>
          <w:szCs w:val="24"/>
          <w:lang w:val="en-US" w:eastAsia="zh-CN" w:bidi="ar"/>
        </w:rPr>
        <w:t xml:space="preserve">定期对蚌埠市第一人民医院的信息安全设备进行巡检，对资产进行安全评估技术检测， 检查设备运行状况是否正常，定期对安全产品进行维护，详细记录安全产品的运行维护日志。 </w:t>
      </w:r>
    </w:p>
    <w:p>
      <w:pPr>
        <w:keepNext w:val="0"/>
        <w:keepLines w:val="0"/>
        <w:widowControl/>
        <w:suppressLineNumbers w:val="0"/>
        <w:jc w:val="left"/>
      </w:pPr>
      <w:r>
        <w:rPr>
          <w:rFonts w:hint="eastAsia" w:ascii="宋体" w:hAnsi="宋体" w:eastAsia="宋体" w:cs="宋体"/>
          <w:color w:val="000000"/>
          <w:kern w:val="0"/>
          <w:sz w:val="24"/>
          <w:szCs w:val="24"/>
          <w:lang w:val="en-US" w:eastAsia="zh-CN" w:bidi="ar"/>
        </w:rPr>
        <w:t xml:space="preserve">定期对蚌埠市第一人民医院的信息安全系统产品策略进行正确性检查，策略发生变更时做好变更记录进行备份，并按要求对安全产品进行及时升级。 </w:t>
      </w:r>
    </w:p>
    <w:p>
      <w:pPr>
        <w:keepNext w:val="0"/>
        <w:keepLines w:val="0"/>
        <w:widowControl/>
        <w:suppressLineNumbers w:val="0"/>
        <w:jc w:val="left"/>
      </w:pPr>
      <w:r>
        <w:rPr>
          <w:rFonts w:hint="eastAsia" w:ascii="宋体" w:hAnsi="宋体" w:eastAsia="宋体" w:cs="宋体"/>
          <w:color w:val="000000"/>
          <w:kern w:val="0"/>
          <w:sz w:val="24"/>
          <w:szCs w:val="24"/>
          <w:lang w:val="en-US" w:eastAsia="zh-CN" w:bidi="ar"/>
        </w:rPr>
        <w:t xml:space="preserve">定期对蚌埠市第一人民医院的机房环境、网络设备、主机服务器和安全设备等硬件系统进行全方位的综合风险分析，及时发现系统存在的高危安全漏洞和安全隐患，并提出切实可行的系统加固方案。 </w:t>
      </w:r>
    </w:p>
    <w:p>
      <w:pPr>
        <w:keepNext w:val="0"/>
        <w:keepLines w:val="0"/>
        <w:widowControl/>
        <w:suppressLineNumbers w:val="0"/>
        <w:jc w:val="left"/>
      </w:pPr>
      <w:r>
        <w:rPr>
          <w:rFonts w:hint="eastAsia" w:ascii="宋体" w:hAnsi="宋体" w:eastAsia="宋体" w:cs="宋体"/>
          <w:color w:val="000000"/>
          <w:kern w:val="0"/>
          <w:sz w:val="24"/>
          <w:szCs w:val="24"/>
          <w:lang w:val="en-US" w:eastAsia="zh-CN" w:bidi="ar"/>
        </w:rPr>
        <w:t xml:space="preserve">定期对蚌埠市第一人民医院的服务器、网络设备、信息系统进行一次漏洞扫描，对漏洞 危害进行分析，提交漏洞扫描报告。 </w:t>
      </w:r>
    </w:p>
    <w:p>
      <w:pPr>
        <w:keepNext w:val="0"/>
        <w:keepLines w:val="0"/>
        <w:widowControl/>
        <w:suppressLineNumbers w:val="0"/>
        <w:jc w:val="left"/>
      </w:pPr>
      <w:r>
        <w:rPr>
          <w:rFonts w:hint="eastAsia" w:ascii="宋体" w:hAnsi="宋体" w:eastAsia="宋体" w:cs="宋体"/>
          <w:color w:val="000000"/>
          <w:kern w:val="0"/>
          <w:sz w:val="24"/>
          <w:szCs w:val="24"/>
          <w:lang w:val="en-US" w:eastAsia="zh-CN" w:bidi="ar"/>
        </w:rPr>
        <w:t xml:space="preserve">定期对蚌埠市第一人民医院的信息系统进行一次全面渗透测试，不但要在信息系统中发现漏洞，而且还要验证漏洞，同时还要对一些未知的漏洞进行挖掘。渗透测试必须通过真实 的用户访问环境进入系统，从而对网络到系统访问、数据调取、存储等一系列的操作进行测试，主要用于检测外部威胁源和路径。渗透测试主要是指模拟社会公众和内部用户对信息系统造成的危害行为，危害行为主要包括信息安全威胁（信息泄泄露、修改、删除）和网络安全威胁（设备控管、网络扰乱或毁瘫），本次渗透测试的主要内容： </w:t>
      </w:r>
    </w:p>
    <w:p>
      <w:pPr>
        <w:keepNext w:val="0"/>
        <w:keepLines w:val="0"/>
        <w:widowControl/>
        <w:suppressLineNumbers w:val="0"/>
        <w:jc w:val="left"/>
      </w:pPr>
      <w:r>
        <w:rPr>
          <w:rFonts w:hint="eastAsia" w:ascii="宋体" w:hAnsi="宋体" w:eastAsia="宋体" w:cs="宋体"/>
          <w:b/>
          <w:color w:val="000000"/>
          <w:kern w:val="0"/>
          <w:sz w:val="24"/>
          <w:szCs w:val="24"/>
          <w:lang w:val="en-US" w:eastAsia="zh-CN" w:bidi="ar"/>
        </w:rPr>
        <w:t>2.1 互联网渗透测试：</w:t>
      </w:r>
      <w:r>
        <w:rPr>
          <w:rFonts w:hint="eastAsia" w:ascii="宋体" w:hAnsi="宋体" w:eastAsia="宋体" w:cs="宋体"/>
          <w:color w:val="000000"/>
          <w:kern w:val="0"/>
          <w:sz w:val="24"/>
          <w:szCs w:val="24"/>
          <w:lang w:val="en-US" w:eastAsia="zh-CN" w:bidi="ar"/>
        </w:rPr>
        <w:t xml:space="preserve">互联网计算机为起点，以互联网应用系统为攻击目标，要求对应用软件能渗透获得系统数据，甚至获得系统权限，并在获得互联网系统控制权限后，向内网进行渗透，测试互联网与内网边界隔离措施有效性。 </w:t>
      </w:r>
    </w:p>
    <w:p>
      <w:pPr>
        <w:keepNext w:val="0"/>
        <w:keepLines w:val="0"/>
        <w:widowControl/>
        <w:suppressLineNumbers w:val="0"/>
        <w:jc w:val="left"/>
      </w:pPr>
      <w:r>
        <w:rPr>
          <w:rFonts w:hint="eastAsia" w:ascii="宋体" w:hAnsi="宋体" w:eastAsia="宋体" w:cs="宋体"/>
          <w:b/>
          <w:color w:val="000000"/>
          <w:kern w:val="0"/>
          <w:sz w:val="24"/>
          <w:szCs w:val="24"/>
          <w:lang w:val="en-US" w:eastAsia="zh-CN" w:bidi="ar"/>
        </w:rPr>
        <w:t>2.2 内网渗透测试：</w:t>
      </w:r>
      <w:r>
        <w:rPr>
          <w:rFonts w:hint="eastAsia" w:ascii="宋体" w:hAnsi="宋体" w:eastAsia="宋体" w:cs="宋体"/>
          <w:color w:val="000000"/>
          <w:kern w:val="0"/>
          <w:sz w:val="24"/>
          <w:szCs w:val="24"/>
          <w:lang w:val="en-US" w:eastAsia="zh-CN" w:bidi="ar"/>
        </w:rPr>
        <w:t xml:space="preserve">通过模拟内部外部人员，选取内部外部测试点使用渗透测试的方式查找内部可能存在的渗透点,发现内部防护体系的薄弱环节，找出内部可能发生的恶意攻击事件和违规行为。 </w:t>
      </w:r>
    </w:p>
    <w:p>
      <w:pPr>
        <w:keepNext w:val="0"/>
        <w:keepLines w:val="0"/>
        <w:widowControl/>
        <w:suppressLineNumbers w:val="0"/>
        <w:jc w:val="left"/>
      </w:pPr>
      <w:r>
        <w:rPr>
          <w:rFonts w:hint="eastAsia" w:ascii="宋体" w:hAnsi="宋体" w:eastAsia="宋体" w:cs="宋体"/>
          <w:b/>
          <w:color w:val="000000"/>
          <w:kern w:val="0"/>
          <w:sz w:val="24"/>
          <w:szCs w:val="24"/>
          <w:lang w:val="en-US" w:eastAsia="zh-CN" w:bidi="ar"/>
        </w:rPr>
        <w:t xml:space="preserve">3．信息安全加固服务。 </w:t>
      </w:r>
    </w:p>
    <w:p>
      <w:pPr>
        <w:keepNext w:val="0"/>
        <w:keepLines w:val="0"/>
        <w:widowControl/>
        <w:suppressLineNumbers w:val="0"/>
        <w:jc w:val="left"/>
      </w:pPr>
      <w:r>
        <w:rPr>
          <w:rFonts w:hint="eastAsia" w:ascii="宋体" w:hAnsi="宋体" w:eastAsia="宋体" w:cs="宋体"/>
          <w:color w:val="000000"/>
          <w:kern w:val="0"/>
          <w:sz w:val="24"/>
          <w:szCs w:val="24"/>
          <w:lang w:val="en-US" w:eastAsia="zh-CN" w:bidi="ar"/>
        </w:rPr>
        <w:t xml:space="preserve">根据蚌埠市第一人民医院网络与信息系统安全方面存在的不足和缺陷，根据网络与信息系统中不同设备的不同安全需求制定有针对性的加固服务，并在实施安全加固之后，提供加 固服务手册和操作记录，以便后续业务系统安全策略的调整。 </w:t>
      </w:r>
    </w:p>
    <w:p>
      <w:pPr>
        <w:keepNext w:val="0"/>
        <w:keepLines w:val="0"/>
        <w:widowControl/>
        <w:suppressLineNumbers w:val="0"/>
        <w:jc w:val="left"/>
      </w:pPr>
      <w:r>
        <w:rPr>
          <w:rFonts w:hint="eastAsia" w:ascii="宋体" w:hAnsi="宋体" w:eastAsia="宋体" w:cs="宋体"/>
          <w:color w:val="000000"/>
          <w:kern w:val="0"/>
          <w:sz w:val="24"/>
          <w:szCs w:val="24"/>
          <w:lang w:val="en-US" w:eastAsia="zh-CN" w:bidi="ar"/>
        </w:rPr>
        <w:t xml:space="preserve">（1）定期需要提供但不限于以下文档：《安全加固方案》、《安全加固报告》等。 </w:t>
      </w:r>
    </w:p>
    <w:p>
      <w:pPr>
        <w:keepNext w:val="0"/>
        <w:keepLines w:val="0"/>
        <w:widowControl/>
        <w:suppressLineNumbers w:val="0"/>
        <w:jc w:val="left"/>
      </w:pPr>
      <w:r>
        <w:rPr>
          <w:rFonts w:hint="eastAsia" w:ascii="宋体" w:hAnsi="宋体" w:eastAsia="宋体" w:cs="宋体"/>
          <w:color w:val="000000"/>
          <w:kern w:val="0"/>
          <w:sz w:val="24"/>
          <w:szCs w:val="24"/>
          <w:lang w:val="en-US" w:eastAsia="zh-CN" w:bidi="ar"/>
        </w:rPr>
        <w:t xml:space="preserve">（2）安全加固内容：至少包含网络结构优化、网络设备加固、主机系统加固、WEB 服务加固，并列出安全加固方法和基线。 </w:t>
      </w:r>
    </w:p>
    <w:p>
      <w:pPr>
        <w:keepNext w:val="0"/>
        <w:keepLines w:val="0"/>
        <w:widowControl/>
        <w:suppressLineNumbers w:val="0"/>
        <w:jc w:val="left"/>
      </w:pPr>
      <w:r>
        <w:rPr>
          <w:rFonts w:hint="eastAsia" w:ascii="宋体" w:hAnsi="宋体" w:eastAsia="宋体" w:cs="宋体"/>
          <w:color w:val="000000"/>
          <w:kern w:val="0"/>
          <w:sz w:val="24"/>
          <w:szCs w:val="24"/>
          <w:lang w:val="en-US" w:eastAsia="zh-CN" w:bidi="ar"/>
        </w:rPr>
        <w:t xml:space="preserve">（3）以表格或图表方式明确安全加固流程，至少包括流程图、责任单位和结果文档，并列出加固过程中的风险规避措施。（4）派遣有经验的项目团队，以保证各方面安全工作有序开展。 </w:t>
      </w:r>
    </w:p>
    <w:p>
      <w:pPr>
        <w:keepNext w:val="0"/>
        <w:keepLines w:val="0"/>
        <w:widowControl/>
        <w:suppressLineNumbers w:val="0"/>
        <w:jc w:val="left"/>
      </w:pPr>
      <w:r>
        <w:rPr>
          <w:rFonts w:hint="eastAsia" w:ascii="宋体" w:hAnsi="宋体" w:eastAsia="宋体" w:cs="宋体"/>
          <w:b/>
          <w:color w:val="000000"/>
          <w:kern w:val="0"/>
          <w:sz w:val="24"/>
          <w:szCs w:val="24"/>
          <w:lang w:val="en-US" w:eastAsia="zh-CN" w:bidi="ar"/>
        </w:rPr>
        <w:t xml:space="preserve">4．网络边界监测服务 </w:t>
      </w:r>
    </w:p>
    <w:p>
      <w:pPr>
        <w:keepNext w:val="0"/>
        <w:keepLines w:val="0"/>
        <w:widowControl/>
        <w:suppressLineNumbers w:val="0"/>
        <w:jc w:val="left"/>
      </w:pPr>
      <w:r>
        <w:rPr>
          <w:rFonts w:hint="eastAsia" w:ascii="宋体" w:hAnsi="宋体" w:eastAsia="宋体" w:cs="宋体"/>
          <w:color w:val="000000"/>
          <w:kern w:val="0"/>
          <w:sz w:val="24"/>
          <w:szCs w:val="24"/>
          <w:lang w:val="en-US" w:eastAsia="zh-CN" w:bidi="ar"/>
        </w:rPr>
        <w:t xml:space="preserve">根据蚌埠市第一人民医院的专网连接情况，分析专网边界安全，提供有效手段能够随时监测终端计算机（windows 主机、linux 主机）、网闸及交换机两网互联或脱离专网环境的情况，事件发生后能够及时通过邮件或短信通知管理员，在最短时间内将违规事件处理，确保专网数据安全。 </w:t>
      </w:r>
    </w:p>
    <w:p>
      <w:pPr>
        <w:keepNext w:val="0"/>
        <w:keepLines w:val="0"/>
        <w:widowControl/>
        <w:numPr>
          <w:ilvl w:val="0"/>
          <w:numId w:val="3"/>
        </w:numPr>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 xml:space="preserve">在无需安装客户端的情况下，通过镜像流量分析或主动探测技术自动发现蚌埠市第一人民医院专网中终端计算机（windows 主机、linux 主机）、网闸及交换机同时连接内网和互联网的违规事件，提供在外联服务器上取证，取证信息包含外联设备内网 IP、外联出口 IP，首次发现时间和最后更新时间等信息，可追溯外联前 3 天内内网的应用系统访问日志。 </w:t>
      </w:r>
    </w:p>
    <w:p>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（2）探测内外网直联、脱离专网环境等严重安全事件后，需 1 小时内进行汇报，并协助蚌埠市第一人民医院进行相关事件排查服务，定位严重安全事件位置及原因，协助排除严重 安全事件隐患。</w:t>
      </w:r>
    </w:p>
    <w:p>
      <w:pPr>
        <w:keepNext w:val="0"/>
        <w:keepLines w:val="0"/>
        <w:widowControl/>
        <w:suppressLineNumbers w:val="0"/>
        <w:jc w:val="left"/>
      </w:pPr>
      <w:r>
        <w:rPr>
          <w:rFonts w:hint="eastAsia" w:ascii="宋体" w:hAnsi="宋体" w:eastAsia="宋体" w:cs="宋体"/>
          <w:b/>
          <w:color w:val="000000"/>
          <w:kern w:val="0"/>
          <w:sz w:val="24"/>
          <w:szCs w:val="24"/>
          <w:lang w:val="en-US" w:eastAsia="zh-CN" w:bidi="ar"/>
        </w:rPr>
        <w:t xml:space="preserve">5.安全事件处置与应急响应服务 </w:t>
      </w:r>
    </w:p>
    <w:p>
      <w:pPr>
        <w:keepNext w:val="0"/>
        <w:keepLines w:val="0"/>
        <w:widowControl/>
        <w:suppressLineNumbers w:val="0"/>
        <w:jc w:val="left"/>
      </w:pPr>
      <w:r>
        <w:rPr>
          <w:rFonts w:hint="eastAsia" w:ascii="宋体" w:hAnsi="宋体" w:eastAsia="宋体" w:cs="宋体"/>
          <w:color w:val="000000"/>
          <w:kern w:val="0"/>
          <w:sz w:val="24"/>
          <w:szCs w:val="24"/>
          <w:lang w:val="en-US" w:eastAsia="zh-CN" w:bidi="ar"/>
        </w:rPr>
        <w:t xml:space="preserve">（1）根据网络与信息安全突发事件的起因、机理，将网络与信息安全突发事件进行分类。同时参照网络与信息安全突发事件的分类原则，按照网络与信息安全威胁产生原因，将网络与信息安全预警信息分类。通过上述分类，成交供应商应按照网络与信息安全对可能造成的危害、紧急程度和发展势态，将安全事件进行分级并制定安全事件分级管理制度。 </w:t>
      </w:r>
    </w:p>
    <w:p>
      <w:pPr>
        <w:keepNext w:val="0"/>
        <w:keepLines w:val="0"/>
        <w:widowControl/>
        <w:suppressLineNumbers w:val="0"/>
        <w:jc w:val="left"/>
      </w:pPr>
      <w:r>
        <w:rPr>
          <w:rFonts w:hint="eastAsia" w:ascii="宋体" w:hAnsi="宋体" w:eastAsia="宋体" w:cs="宋体"/>
          <w:color w:val="000000"/>
          <w:kern w:val="0"/>
          <w:sz w:val="24"/>
          <w:szCs w:val="24"/>
          <w:lang w:val="en-US" w:eastAsia="zh-CN" w:bidi="ar"/>
        </w:rPr>
        <w:t xml:space="preserve">（2）根据采购人特点编制网络安全应急预案：根据采购人业务特点编写应急演练方案，方案应包括丰富、全面的应急演练场景，如包含防病毒、网络、渗透攻击等演练场景。 </w:t>
      </w:r>
    </w:p>
    <w:p>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（3）根据演练方案编制演练脚本，搭建演练环境，提供自动化工具用于构建跨站攻击、网页篡改等复杂演练场景，并提供必要的演练设备，演练开始前为具体参与人员提供演练培训。</w:t>
      </w:r>
    </w:p>
    <w:p>
      <w:pPr>
        <w:keepNext w:val="0"/>
        <w:keepLines w:val="0"/>
        <w:widowControl/>
        <w:suppressLineNumbers w:val="0"/>
        <w:jc w:val="left"/>
      </w:pPr>
      <w:r>
        <w:rPr>
          <w:rFonts w:hint="eastAsia" w:ascii="宋体" w:hAnsi="宋体" w:eastAsia="宋体" w:cs="宋体"/>
          <w:color w:val="000000"/>
          <w:kern w:val="0"/>
          <w:sz w:val="24"/>
          <w:szCs w:val="24"/>
          <w:lang w:val="en-US" w:eastAsia="zh-CN" w:bidi="ar"/>
        </w:rPr>
        <w:t xml:space="preserve">（4）进行应急预案的培训：对采购人工作人员进行应急预案的流程培训，使各个岗位的相关工作人员能了解应急处理流程，明了自己的职责。 </w:t>
      </w:r>
    </w:p>
    <w:p>
      <w:pPr>
        <w:keepNext w:val="0"/>
        <w:keepLines w:val="0"/>
        <w:widowControl/>
        <w:suppressLineNumbers w:val="0"/>
        <w:jc w:val="left"/>
      </w:pPr>
      <w:r>
        <w:rPr>
          <w:rFonts w:hint="eastAsia" w:ascii="宋体" w:hAnsi="宋体" w:eastAsia="宋体" w:cs="宋体"/>
          <w:color w:val="000000"/>
          <w:kern w:val="0"/>
          <w:sz w:val="24"/>
          <w:szCs w:val="24"/>
          <w:lang w:val="en-US" w:eastAsia="zh-CN" w:bidi="ar"/>
        </w:rPr>
        <w:t xml:space="preserve">（5）组织应急演练工作：协助采购人组织实施应急演练工作，选择演练对象，从网络到系统环境等方面的故障进行模拟演练，确保在网络中断、系统毁瘫、机房出现重大事故等情况下尽快恢复应用的正常运行，做好演练过程记录和演练的总结工作。 </w:t>
      </w:r>
    </w:p>
    <w:p>
      <w:pPr>
        <w:keepNext w:val="0"/>
        <w:keepLines w:val="0"/>
        <w:widowControl/>
        <w:suppressLineNumbers w:val="0"/>
        <w:jc w:val="left"/>
      </w:pPr>
      <w:r>
        <w:rPr>
          <w:rFonts w:hint="eastAsia" w:ascii="宋体" w:hAnsi="宋体" w:eastAsia="宋体" w:cs="宋体"/>
          <w:color w:val="000000"/>
          <w:kern w:val="0"/>
          <w:sz w:val="24"/>
          <w:szCs w:val="24"/>
          <w:lang w:val="en-US" w:eastAsia="zh-CN" w:bidi="ar"/>
        </w:rPr>
        <w:t xml:space="preserve">（6）提供全面的安全事件处置与应急响应服务，通过技术支撑团队对系统内可能发生安全事件提供全面的应急响应支持，针对突发的信息安全事件，做到事前提前预警、事中及时处理、事后归纳总结。各系统发生安全事件时，响应单位应及时处理和汇报；成交供应商应对信息安全事件的发生、处理办法进行记录，并把《信息安全事件记录单》进行备案。提交且不限于以下文档：《编制及修订应急处置预案》、《应急演练实施方案》、《应急演练日志记录表》、《应急演练报告》等。 </w:t>
      </w:r>
    </w:p>
    <w:p>
      <w:pPr>
        <w:keepNext w:val="0"/>
        <w:keepLines w:val="0"/>
        <w:widowControl/>
        <w:suppressLineNumbers w:val="0"/>
        <w:jc w:val="left"/>
        <w:rPr>
          <w:rFonts w:hint="default" w:ascii="宋体" w:hAnsi="宋体" w:eastAsia="宋体"/>
          <w:sz w:val="24"/>
          <w:szCs w:val="24"/>
        </w:rPr>
      </w:pPr>
      <w:r>
        <w:rPr>
          <w:rFonts w:hint="eastAsia" w:ascii="宋体" w:hAnsi="宋体" w:eastAsia="宋体" w:cs="宋体"/>
          <w:color w:val="000000"/>
          <w:kern w:val="0"/>
          <w:sz w:val="24"/>
          <w:szCs w:val="24"/>
          <w:lang w:val="en-US" w:eastAsia="zh-CN" w:bidi="ar"/>
        </w:rPr>
        <w:t>（7）在应急需求发起后，技术支撑人员必须在 2 小时内到达采购人指定现场对安全事件 进行处理。应派遣有经验的项目团队进行安全事件处置与应急响应服务工作，以保证各方面 安全工作有序开展。</w:t>
      </w:r>
    </w:p>
    <w:p>
      <w:pPr>
        <w:widowControl/>
        <w:shd w:val="clear" w:color="auto" w:fill="FFFFFF"/>
        <w:spacing w:before="240" w:after="120" w:line="480" w:lineRule="atLeast"/>
        <w:jc w:val="left"/>
        <w:outlineLvl w:val="1"/>
        <w:rPr>
          <w:rFonts w:hint="default" w:ascii="黑体" w:hAnsi="黑体" w:eastAsia="黑体" w:cs="Arial"/>
          <w:b/>
          <w:kern w:val="0"/>
          <w:szCs w:val="32"/>
        </w:rPr>
      </w:pPr>
      <w:bookmarkStart w:id="17" w:name="_Toc61612429"/>
      <w:bookmarkStart w:id="18" w:name="_Toc53217156"/>
      <w:r>
        <w:rPr>
          <w:rFonts w:hint="eastAsia" w:ascii="黑体" w:hAnsi="黑体" w:eastAsia="黑体" w:cs="Arial"/>
          <w:b/>
          <w:kern w:val="0"/>
          <w:szCs w:val="32"/>
          <w:lang w:val="en-US" w:eastAsia="zh-CN"/>
        </w:rPr>
        <w:t>七</w:t>
      </w:r>
      <w:r>
        <w:rPr>
          <w:rFonts w:ascii="黑体" w:hAnsi="黑体" w:eastAsia="黑体" w:cs="Arial"/>
          <w:b/>
          <w:kern w:val="0"/>
          <w:szCs w:val="32"/>
        </w:rPr>
        <w:t>、工作要求：</w:t>
      </w:r>
      <w:bookmarkEnd w:id="17"/>
      <w:bookmarkEnd w:id="18"/>
    </w:p>
    <w:p>
      <w:pPr>
        <w:pStyle w:val="8"/>
        <w:numPr>
          <w:ilvl w:val="0"/>
          <w:numId w:val="4"/>
        </w:numPr>
        <w:spacing w:line="360" w:lineRule="auto"/>
        <w:ind w:firstLineChars="0"/>
        <w:outlineLvl w:val="2"/>
        <w:rPr>
          <w:rFonts w:ascii="宋体" w:hAnsi="宋体" w:eastAsia="宋体" w:cs="Arial"/>
          <w:b/>
          <w:sz w:val="24"/>
          <w:szCs w:val="24"/>
        </w:rPr>
      </w:pPr>
      <w:bookmarkStart w:id="19" w:name="_Toc52369337"/>
      <w:bookmarkStart w:id="20" w:name="_Toc61612430"/>
      <w:bookmarkStart w:id="21" w:name="_Toc46177957"/>
      <w:bookmarkStart w:id="22" w:name="_Toc53217157"/>
      <w:r>
        <w:rPr>
          <w:rFonts w:hint="eastAsia" w:ascii="宋体" w:hAnsi="宋体" w:eastAsia="宋体" w:cs="Arial"/>
          <w:b/>
          <w:sz w:val="24"/>
          <w:szCs w:val="24"/>
        </w:rPr>
        <w:t>实施原则</w:t>
      </w:r>
      <w:bookmarkEnd w:id="19"/>
      <w:bookmarkEnd w:id="20"/>
      <w:bookmarkEnd w:id="21"/>
      <w:bookmarkEnd w:id="22"/>
    </w:p>
    <w:p>
      <w:pPr>
        <w:tabs>
          <w:tab w:val="left" w:pos="720"/>
        </w:tabs>
        <w:adjustRightInd w:val="0"/>
        <w:snapToGrid w:val="0"/>
        <w:spacing w:line="360" w:lineRule="auto"/>
        <w:ind w:firstLine="460" w:firstLineChars="192"/>
        <w:rPr>
          <w:rFonts w:hint="default" w:ascii="宋体" w:hAnsi="宋体" w:eastAsia="宋体" w:cs="Arial"/>
          <w:sz w:val="24"/>
          <w:szCs w:val="24"/>
        </w:rPr>
      </w:pPr>
      <w:r>
        <w:rPr>
          <w:rFonts w:ascii="宋体" w:hAnsi="宋体" w:eastAsia="宋体" w:cs="Arial"/>
          <w:sz w:val="24"/>
          <w:szCs w:val="24"/>
        </w:rPr>
        <w:t>规范性原则：成交供应商工作中的过程和文档，具有很好的规范性，可以便于项目的跟踪和控制；</w:t>
      </w:r>
    </w:p>
    <w:p>
      <w:pPr>
        <w:tabs>
          <w:tab w:val="left" w:pos="720"/>
        </w:tabs>
        <w:adjustRightInd w:val="0"/>
        <w:snapToGrid w:val="0"/>
        <w:spacing w:line="360" w:lineRule="auto"/>
        <w:ind w:firstLine="460" w:firstLineChars="192"/>
        <w:rPr>
          <w:rFonts w:hint="default" w:ascii="宋体" w:hAnsi="宋体" w:eastAsia="宋体" w:cs="Arial"/>
          <w:sz w:val="24"/>
          <w:szCs w:val="24"/>
        </w:rPr>
      </w:pPr>
      <w:r>
        <w:rPr>
          <w:rFonts w:ascii="宋体" w:hAnsi="宋体" w:eastAsia="宋体" w:cs="Arial"/>
          <w:sz w:val="24"/>
          <w:szCs w:val="24"/>
        </w:rPr>
        <w:t>标准性原则：测评方案的设计与实施应依据国家等级保护的相关标准进行。</w:t>
      </w:r>
    </w:p>
    <w:p>
      <w:pPr>
        <w:tabs>
          <w:tab w:val="left" w:pos="720"/>
        </w:tabs>
        <w:adjustRightInd w:val="0"/>
        <w:snapToGrid w:val="0"/>
        <w:spacing w:line="360" w:lineRule="auto"/>
        <w:ind w:firstLine="460" w:firstLineChars="192"/>
        <w:rPr>
          <w:rFonts w:hint="default" w:ascii="宋体" w:hAnsi="宋体" w:eastAsia="宋体" w:cs="Arial"/>
          <w:sz w:val="24"/>
          <w:szCs w:val="24"/>
        </w:rPr>
      </w:pPr>
      <w:r>
        <w:rPr>
          <w:rFonts w:ascii="宋体" w:hAnsi="宋体" w:eastAsia="宋体" w:cs="Arial"/>
          <w:sz w:val="24"/>
          <w:szCs w:val="24"/>
        </w:rPr>
        <w:t>可控性原则：测评的工具、方法和过程需在双方认可的范围之内并符合进度表的安排，保证采购人对服务工作的可控性；</w:t>
      </w:r>
    </w:p>
    <w:p>
      <w:pPr>
        <w:tabs>
          <w:tab w:val="left" w:pos="720"/>
        </w:tabs>
        <w:adjustRightInd w:val="0"/>
        <w:snapToGrid w:val="0"/>
        <w:spacing w:line="360" w:lineRule="auto"/>
        <w:ind w:firstLine="460" w:firstLineChars="192"/>
        <w:rPr>
          <w:rFonts w:hint="default" w:ascii="宋体" w:hAnsi="宋体" w:eastAsia="宋体" w:cs="Arial"/>
          <w:sz w:val="24"/>
          <w:szCs w:val="24"/>
        </w:rPr>
      </w:pPr>
      <w:r>
        <w:rPr>
          <w:rFonts w:ascii="宋体" w:hAnsi="宋体" w:eastAsia="宋体" w:cs="Arial"/>
          <w:sz w:val="24"/>
          <w:szCs w:val="24"/>
        </w:rPr>
        <w:t>整体性原则：测评和分析的范围和内容应当整体全面，包括安全涉及的各个层面，避免由于遗漏造成未来的安全隐患；</w:t>
      </w:r>
    </w:p>
    <w:p>
      <w:pPr>
        <w:tabs>
          <w:tab w:val="left" w:pos="720"/>
        </w:tabs>
        <w:adjustRightInd w:val="0"/>
        <w:snapToGrid w:val="0"/>
        <w:spacing w:line="360" w:lineRule="auto"/>
        <w:ind w:firstLine="460" w:firstLineChars="192"/>
        <w:rPr>
          <w:rFonts w:hint="default" w:ascii="宋体" w:hAnsi="宋体" w:eastAsia="宋体" w:cs="Arial"/>
          <w:sz w:val="24"/>
          <w:szCs w:val="24"/>
        </w:rPr>
      </w:pPr>
      <w:r>
        <w:rPr>
          <w:rFonts w:ascii="宋体" w:hAnsi="宋体" w:eastAsia="宋体" w:cs="Arial"/>
          <w:sz w:val="24"/>
          <w:szCs w:val="24"/>
        </w:rPr>
        <w:t>最小影响原则：测评工作应尽可能小的影响系统和网络的正常运行，不能对现网的运行和业务的正常提供产生显著影响(包括系统性能明显下降、网络拥塞、服务中断，如无法避免出现这些情况应在应答书上详细描述)；</w:t>
      </w:r>
    </w:p>
    <w:p>
      <w:pPr>
        <w:tabs>
          <w:tab w:val="left" w:pos="720"/>
        </w:tabs>
        <w:adjustRightInd w:val="0"/>
        <w:snapToGrid w:val="0"/>
        <w:spacing w:line="360" w:lineRule="auto"/>
        <w:ind w:firstLine="460" w:firstLineChars="192"/>
        <w:rPr>
          <w:rFonts w:hint="default" w:ascii="宋体" w:hAnsi="宋体" w:eastAsia="宋体" w:cs="Arial"/>
          <w:sz w:val="24"/>
          <w:szCs w:val="24"/>
        </w:rPr>
      </w:pPr>
      <w:r>
        <w:rPr>
          <w:rFonts w:ascii="宋体" w:hAnsi="宋体" w:eastAsia="宋体" w:cs="Arial"/>
          <w:sz w:val="24"/>
          <w:szCs w:val="24"/>
        </w:rPr>
        <w:t>保密原则：对测评的过程数据和结果数据严格保密，未经授权不得泄露给任何单位和个人，不得利用此数据进行任何侵害采购人网络的行为，否则采购人有权追究责任。</w:t>
      </w:r>
    </w:p>
    <w:p>
      <w:pPr>
        <w:pStyle w:val="8"/>
        <w:numPr>
          <w:ilvl w:val="0"/>
          <w:numId w:val="4"/>
        </w:numPr>
        <w:spacing w:line="360" w:lineRule="auto"/>
        <w:ind w:firstLineChars="0"/>
        <w:outlineLvl w:val="2"/>
        <w:rPr>
          <w:rFonts w:ascii="宋体" w:hAnsi="宋体" w:eastAsia="宋体" w:cs="Arial"/>
          <w:b/>
          <w:sz w:val="24"/>
          <w:szCs w:val="24"/>
        </w:rPr>
      </w:pPr>
      <w:bookmarkStart w:id="23" w:name="_Toc52369338"/>
      <w:bookmarkStart w:id="24" w:name="_Toc61612431"/>
      <w:bookmarkStart w:id="25" w:name="_Toc46177958"/>
      <w:bookmarkStart w:id="26" w:name="_Toc53217158"/>
      <w:r>
        <w:rPr>
          <w:rFonts w:hint="eastAsia" w:ascii="宋体" w:hAnsi="宋体" w:eastAsia="宋体" w:cs="Arial"/>
          <w:b/>
          <w:sz w:val="24"/>
          <w:szCs w:val="24"/>
        </w:rPr>
        <w:t>测评依据</w:t>
      </w:r>
      <w:bookmarkEnd w:id="23"/>
      <w:bookmarkEnd w:id="24"/>
      <w:bookmarkEnd w:id="25"/>
      <w:bookmarkEnd w:id="26"/>
    </w:p>
    <w:p>
      <w:pPr>
        <w:tabs>
          <w:tab w:val="left" w:pos="720"/>
        </w:tabs>
        <w:adjustRightInd w:val="0"/>
        <w:snapToGrid w:val="0"/>
        <w:spacing w:line="360" w:lineRule="auto"/>
        <w:rPr>
          <w:rFonts w:hint="default" w:ascii="宋体" w:hAnsi="宋体" w:eastAsia="宋体" w:cs="Arial"/>
          <w:sz w:val="24"/>
          <w:szCs w:val="24"/>
        </w:rPr>
      </w:pPr>
      <w:r>
        <w:rPr>
          <w:rFonts w:ascii="宋体" w:hAnsi="宋体" w:eastAsia="宋体" w:cs="Arial"/>
          <w:sz w:val="24"/>
          <w:szCs w:val="24"/>
        </w:rPr>
        <w:t xml:space="preserve">《信息安全技术 网络安全等级保护基本要求》（GB/T 22239-2019） </w:t>
      </w:r>
    </w:p>
    <w:p>
      <w:pPr>
        <w:tabs>
          <w:tab w:val="left" w:pos="720"/>
        </w:tabs>
        <w:adjustRightInd w:val="0"/>
        <w:snapToGrid w:val="0"/>
        <w:spacing w:line="360" w:lineRule="auto"/>
        <w:rPr>
          <w:rFonts w:hint="default" w:ascii="宋体" w:hAnsi="宋体" w:eastAsia="宋体" w:cs="Arial"/>
          <w:sz w:val="24"/>
          <w:szCs w:val="24"/>
        </w:rPr>
      </w:pPr>
      <w:r>
        <w:rPr>
          <w:rFonts w:ascii="宋体" w:hAnsi="宋体" w:eastAsia="宋体" w:cs="Arial"/>
          <w:sz w:val="24"/>
          <w:szCs w:val="24"/>
        </w:rPr>
        <w:t>《信息安全技术 网络安全等级保护定级指南》（GB/T 22240-2020）</w:t>
      </w:r>
    </w:p>
    <w:p>
      <w:pPr>
        <w:tabs>
          <w:tab w:val="left" w:pos="720"/>
        </w:tabs>
        <w:adjustRightInd w:val="0"/>
        <w:snapToGrid w:val="0"/>
        <w:spacing w:line="360" w:lineRule="auto"/>
        <w:rPr>
          <w:rFonts w:hint="default" w:ascii="宋体" w:hAnsi="宋体" w:eastAsia="宋体" w:cs="Arial"/>
          <w:sz w:val="24"/>
          <w:szCs w:val="24"/>
        </w:rPr>
      </w:pPr>
      <w:r>
        <w:rPr>
          <w:rFonts w:ascii="宋体" w:hAnsi="宋体" w:eastAsia="宋体" w:cs="Arial"/>
          <w:sz w:val="24"/>
          <w:szCs w:val="24"/>
        </w:rPr>
        <w:t xml:space="preserve">《信息安全技术 网络安全等级保护测评要求》（GB/T 28448-2019） </w:t>
      </w:r>
    </w:p>
    <w:p>
      <w:pPr>
        <w:tabs>
          <w:tab w:val="left" w:pos="720"/>
        </w:tabs>
        <w:adjustRightInd w:val="0"/>
        <w:snapToGrid w:val="0"/>
        <w:spacing w:line="360" w:lineRule="auto"/>
        <w:rPr>
          <w:rFonts w:hint="default" w:ascii="宋体" w:hAnsi="宋体" w:eastAsia="宋体" w:cs="Arial"/>
          <w:sz w:val="24"/>
          <w:szCs w:val="24"/>
        </w:rPr>
      </w:pPr>
      <w:r>
        <w:rPr>
          <w:rFonts w:ascii="宋体" w:hAnsi="宋体" w:eastAsia="宋体" w:cs="Arial"/>
          <w:sz w:val="24"/>
          <w:szCs w:val="24"/>
        </w:rPr>
        <w:t>《信息安全技术 网络安全等级保护测评过程指南》（GB∕T 28449-2018）</w:t>
      </w:r>
    </w:p>
    <w:p>
      <w:pPr>
        <w:pStyle w:val="8"/>
        <w:numPr>
          <w:ilvl w:val="0"/>
          <w:numId w:val="4"/>
        </w:numPr>
        <w:spacing w:line="360" w:lineRule="auto"/>
        <w:ind w:firstLineChars="0"/>
        <w:rPr>
          <w:rFonts w:ascii="宋体" w:hAnsi="宋体" w:eastAsia="宋体" w:cs="Arial"/>
          <w:b/>
          <w:sz w:val="24"/>
          <w:szCs w:val="24"/>
        </w:rPr>
      </w:pPr>
      <w:r>
        <w:rPr>
          <w:rFonts w:hint="eastAsia" w:ascii="宋体" w:hAnsi="宋体" w:eastAsia="宋体" w:cs="Arial"/>
          <w:b/>
          <w:sz w:val="24"/>
          <w:szCs w:val="24"/>
        </w:rPr>
        <w:t>等级保护测评内容</w:t>
      </w:r>
    </w:p>
    <w:p>
      <w:pPr>
        <w:numPr>
          <w:ilvl w:val="1"/>
          <w:numId w:val="5"/>
        </w:numPr>
        <w:spacing w:line="360" w:lineRule="auto"/>
        <w:ind w:left="640" w:leftChars="200" w:firstLine="0"/>
        <w:outlineLvl w:val="4"/>
        <w:rPr>
          <w:rFonts w:hint="default" w:ascii="宋体" w:hAnsi="宋体" w:eastAsia="宋体"/>
          <w:b/>
          <w:sz w:val="24"/>
          <w:szCs w:val="24"/>
        </w:rPr>
      </w:pPr>
      <w:bookmarkStart w:id="27" w:name="_Toc4424565"/>
      <w:bookmarkStart w:id="28" w:name="_Toc311015404"/>
      <w:bookmarkStart w:id="29" w:name="_Toc288570237"/>
      <w:bookmarkStart w:id="30" w:name="_Toc288574635"/>
      <w:bookmarkStart w:id="31" w:name="_Toc287704425"/>
      <w:bookmarkStart w:id="32" w:name="_Toc288552020"/>
      <w:r>
        <w:rPr>
          <w:rFonts w:ascii="宋体" w:hAnsi="宋体" w:eastAsia="宋体"/>
          <w:b/>
          <w:sz w:val="24"/>
          <w:szCs w:val="24"/>
        </w:rPr>
        <w:t>等级保护测评内容</w:t>
      </w:r>
      <w:bookmarkEnd w:id="27"/>
      <w:bookmarkEnd w:id="28"/>
    </w:p>
    <w:p>
      <w:pPr>
        <w:snapToGrid w:val="0"/>
        <w:spacing w:line="360" w:lineRule="auto"/>
        <w:ind w:firstLine="480" w:firstLineChars="200"/>
        <w:rPr>
          <w:rFonts w:hint="default" w:ascii="宋体" w:hAnsi="宋体" w:eastAsia="宋体"/>
          <w:sz w:val="24"/>
          <w:szCs w:val="24"/>
        </w:rPr>
      </w:pPr>
      <w:r>
        <w:rPr>
          <w:rFonts w:ascii="宋体" w:hAnsi="宋体" w:eastAsia="宋体"/>
          <w:sz w:val="24"/>
          <w:szCs w:val="24"/>
        </w:rPr>
        <w:t>根据国家等级保护相关标准，本次项目的网络安全等级保护测评应包括以下内容：</w:t>
      </w:r>
    </w:p>
    <w:bookmarkEnd w:id="29"/>
    <w:bookmarkEnd w:id="30"/>
    <w:bookmarkEnd w:id="31"/>
    <w:bookmarkEnd w:id="32"/>
    <w:p>
      <w:pPr>
        <w:pStyle w:val="9"/>
        <w:overflowPunct w:val="0"/>
        <w:topLinePunct/>
        <w:spacing w:line="360" w:lineRule="auto"/>
        <w:ind w:firstLine="480" w:firstLineChars="200"/>
        <w:rPr>
          <w:color w:val="auto"/>
          <w:sz w:val="24"/>
          <w:szCs w:val="24"/>
        </w:rPr>
      </w:pPr>
      <w:r>
        <w:rPr>
          <w:color w:val="auto"/>
          <w:sz w:val="24"/>
          <w:szCs w:val="24"/>
        </w:rPr>
        <w:t>安全技术测评：</w:t>
      </w:r>
      <w:r>
        <w:rPr>
          <w:rFonts w:hint="eastAsia"/>
          <w:color w:val="auto"/>
          <w:sz w:val="24"/>
          <w:szCs w:val="24"/>
        </w:rPr>
        <w:t>包括安全物理环境</w:t>
      </w:r>
      <w:r>
        <w:rPr>
          <w:color w:val="auto"/>
          <w:sz w:val="24"/>
          <w:szCs w:val="24"/>
        </w:rPr>
        <w:t>、安全</w:t>
      </w:r>
      <w:r>
        <w:rPr>
          <w:rFonts w:hint="eastAsia"/>
          <w:color w:val="auto"/>
          <w:sz w:val="24"/>
          <w:szCs w:val="24"/>
        </w:rPr>
        <w:t>通信</w:t>
      </w:r>
      <w:r>
        <w:rPr>
          <w:color w:val="auto"/>
          <w:sz w:val="24"/>
          <w:szCs w:val="24"/>
        </w:rPr>
        <w:t>网络</w:t>
      </w:r>
      <w:r>
        <w:rPr>
          <w:rFonts w:hint="eastAsia"/>
          <w:color w:val="auto"/>
          <w:sz w:val="24"/>
          <w:szCs w:val="24"/>
        </w:rPr>
        <w:t>、</w:t>
      </w:r>
      <w:r>
        <w:rPr>
          <w:color w:val="auto"/>
          <w:sz w:val="24"/>
          <w:szCs w:val="24"/>
        </w:rPr>
        <w:t>安全</w:t>
      </w:r>
      <w:r>
        <w:rPr>
          <w:rFonts w:hint="eastAsia"/>
          <w:color w:val="auto"/>
          <w:sz w:val="24"/>
          <w:szCs w:val="24"/>
        </w:rPr>
        <w:t>区域边界、安全计算环境、安全管理中心</w:t>
      </w:r>
      <w:r>
        <w:rPr>
          <w:color w:val="auto"/>
          <w:sz w:val="24"/>
          <w:szCs w:val="24"/>
        </w:rPr>
        <w:t>等</w:t>
      </w:r>
      <w:r>
        <w:rPr>
          <w:rFonts w:hint="eastAsia"/>
          <w:color w:val="auto"/>
          <w:sz w:val="24"/>
          <w:szCs w:val="24"/>
        </w:rPr>
        <w:t>五个方面的安全</w:t>
      </w:r>
      <w:r>
        <w:rPr>
          <w:color w:val="auto"/>
          <w:sz w:val="24"/>
          <w:szCs w:val="24"/>
        </w:rPr>
        <w:t>测评；</w:t>
      </w:r>
    </w:p>
    <w:p>
      <w:pPr>
        <w:pStyle w:val="9"/>
        <w:overflowPunct w:val="0"/>
        <w:topLinePunct/>
        <w:spacing w:line="360" w:lineRule="auto"/>
        <w:ind w:firstLine="480" w:firstLineChars="200"/>
        <w:rPr>
          <w:color w:val="auto"/>
          <w:sz w:val="24"/>
          <w:szCs w:val="24"/>
        </w:rPr>
      </w:pPr>
      <w:r>
        <w:rPr>
          <w:color w:val="auto"/>
          <w:sz w:val="24"/>
          <w:szCs w:val="24"/>
        </w:rPr>
        <w:t>安全管理测评：</w:t>
      </w:r>
      <w:r>
        <w:rPr>
          <w:rFonts w:hint="eastAsia"/>
          <w:color w:val="auto"/>
          <w:sz w:val="24"/>
          <w:szCs w:val="24"/>
        </w:rPr>
        <w:t>包括</w:t>
      </w:r>
      <w:r>
        <w:rPr>
          <w:color w:val="auto"/>
          <w:sz w:val="24"/>
          <w:szCs w:val="24"/>
        </w:rPr>
        <w:t>安全管理</w:t>
      </w:r>
      <w:r>
        <w:rPr>
          <w:rFonts w:hint="eastAsia"/>
          <w:color w:val="auto"/>
          <w:sz w:val="24"/>
          <w:szCs w:val="24"/>
        </w:rPr>
        <w:t>制度</w:t>
      </w:r>
      <w:r>
        <w:rPr>
          <w:color w:val="auto"/>
          <w:sz w:val="24"/>
          <w:szCs w:val="24"/>
        </w:rPr>
        <w:t>、安全管理</w:t>
      </w:r>
      <w:r>
        <w:rPr>
          <w:rFonts w:hint="eastAsia"/>
          <w:color w:val="auto"/>
          <w:sz w:val="24"/>
          <w:szCs w:val="24"/>
        </w:rPr>
        <w:t>机构、</w:t>
      </w:r>
      <w:r>
        <w:rPr>
          <w:color w:val="auto"/>
          <w:sz w:val="24"/>
          <w:szCs w:val="24"/>
        </w:rPr>
        <w:t>安全管理人员、</w:t>
      </w:r>
      <w:r>
        <w:rPr>
          <w:rFonts w:hint="eastAsia"/>
          <w:color w:val="auto"/>
          <w:sz w:val="24"/>
          <w:szCs w:val="24"/>
        </w:rPr>
        <w:t>安全</w:t>
      </w:r>
      <w:r>
        <w:rPr>
          <w:color w:val="auto"/>
          <w:sz w:val="24"/>
          <w:szCs w:val="24"/>
        </w:rPr>
        <w:t>建设管理和</w:t>
      </w:r>
      <w:r>
        <w:rPr>
          <w:rFonts w:hint="eastAsia"/>
          <w:color w:val="auto"/>
          <w:sz w:val="24"/>
          <w:szCs w:val="24"/>
        </w:rPr>
        <w:t>安全</w:t>
      </w:r>
      <w:r>
        <w:rPr>
          <w:color w:val="auto"/>
          <w:sz w:val="24"/>
          <w:szCs w:val="24"/>
        </w:rPr>
        <w:t>运维管理等</w:t>
      </w:r>
      <w:r>
        <w:rPr>
          <w:rFonts w:hint="eastAsia"/>
          <w:color w:val="auto"/>
          <w:sz w:val="24"/>
          <w:szCs w:val="24"/>
        </w:rPr>
        <w:t>五</w:t>
      </w:r>
      <w:r>
        <w:rPr>
          <w:color w:val="auto"/>
          <w:sz w:val="24"/>
          <w:szCs w:val="24"/>
        </w:rPr>
        <w:t>个方面的安全测评</w:t>
      </w:r>
      <w:r>
        <w:rPr>
          <w:rFonts w:hint="eastAsia"/>
          <w:sz w:val="24"/>
          <w:szCs w:val="24"/>
        </w:rPr>
        <w:t>。</w:t>
      </w:r>
    </w:p>
    <w:p>
      <w:pPr>
        <w:numPr>
          <w:ilvl w:val="1"/>
          <w:numId w:val="5"/>
        </w:numPr>
        <w:spacing w:line="360" w:lineRule="auto"/>
        <w:ind w:left="640" w:leftChars="200" w:firstLine="0"/>
        <w:outlineLvl w:val="4"/>
        <w:rPr>
          <w:rFonts w:hint="default" w:ascii="宋体" w:hAnsi="宋体" w:eastAsia="宋体"/>
          <w:b/>
          <w:sz w:val="24"/>
          <w:szCs w:val="24"/>
        </w:rPr>
      </w:pPr>
      <w:bookmarkStart w:id="33" w:name="_Toc4424566"/>
      <w:r>
        <w:rPr>
          <w:rFonts w:ascii="宋体" w:hAnsi="宋体" w:eastAsia="宋体"/>
          <w:b/>
          <w:sz w:val="24"/>
          <w:szCs w:val="24"/>
        </w:rPr>
        <w:t>安全物理</w:t>
      </w:r>
      <w:bookmarkEnd w:id="33"/>
      <w:r>
        <w:rPr>
          <w:rFonts w:ascii="宋体" w:hAnsi="宋体" w:eastAsia="宋体"/>
          <w:b/>
          <w:sz w:val="24"/>
          <w:szCs w:val="24"/>
        </w:rPr>
        <w:t>环境</w:t>
      </w:r>
    </w:p>
    <w:p>
      <w:pPr>
        <w:tabs>
          <w:tab w:val="left" w:pos="1080"/>
          <w:tab w:val="left" w:pos="1680"/>
        </w:tabs>
        <w:snapToGrid w:val="0"/>
        <w:spacing w:line="360" w:lineRule="auto"/>
        <w:ind w:firstLine="480" w:firstLineChars="200"/>
        <w:rPr>
          <w:rFonts w:hint="default" w:ascii="宋体" w:hAnsi="宋体" w:eastAsia="宋体"/>
          <w:sz w:val="24"/>
          <w:szCs w:val="24"/>
        </w:rPr>
      </w:pPr>
      <w:r>
        <w:rPr>
          <w:rFonts w:ascii="宋体" w:hAnsi="宋体" w:eastAsia="宋体"/>
          <w:sz w:val="24"/>
          <w:szCs w:val="24"/>
        </w:rPr>
        <w:t>安全物理环境是对机房和办公场所的物理环境安全防护情况进行测评，包括物理位置选择、物理访问控制、防盗窃和防破坏、防雷击、防火、防水和防潮、防静电、温湿度控制、电力供应和电磁防护等方面的安全状况。</w:t>
      </w:r>
    </w:p>
    <w:p>
      <w:pPr>
        <w:numPr>
          <w:ilvl w:val="1"/>
          <w:numId w:val="5"/>
        </w:numPr>
        <w:spacing w:line="360" w:lineRule="auto"/>
        <w:ind w:left="640" w:leftChars="200" w:firstLine="0"/>
        <w:outlineLvl w:val="4"/>
        <w:rPr>
          <w:rFonts w:hint="default" w:ascii="宋体" w:hAnsi="宋体" w:eastAsia="宋体"/>
          <w:b/>
          <w:sz w:val="24"/>
          <w:szCs w:val="24"/>
        </w:rPr>
      </w:pPr>
      <w:bookmarkStart w:id="34" w:name="_Toc4424567"/>
      <w:r>
        <w:rPr>
          <w:rFonts w:ascii="宋体" w:hAnsi="宋体" w:eastAsia="宋体"/>
          <w:b/>
          <w:sz w:val="24"/>
          <w:szCs w:val="24"/>
        </w:rPr>
        <w:t>安全通信网络</w:t>
      </w:r>
      <w:bookmarkEnd w:id="34"/>
    </w:p>
    <w:p>
      <w:pPr>
        <w:tabs>
          <w:tab w:val="left" w:pos="1080"/>
          <w:tab w:val="left" w:pos="1680"/>
        </w:tabs>
        <w:snapToGrid w:val="0"/>
        <w:spacing w:line="360" w:lineRule="auto"/>
        <w:ind w:firstLine="480" w:firstLineChars="200"/>
        <w:rPr>
          <w:rFonts w:hint="default" w:ascii="宋体" w:hAnsi="宋体" w:eastAsia="宋体"/>
          <w:sz w:val="24"/>
          <w:szCs w:val="24"/>
        </w:rPr>
      </w:pPr>
      <w:r>
        <w:rPr>
          <w:rFonts w:ascii="宋体" w:hAnsi="宋体" w:eastAsia="宋体"/>
          <w:sz w:val="24"/>
          <w:szCs w:val="24"/>
        </w:rPr>
        <w:t>安全通信网络测评是对网络系统安全防护情况进行测评，包括网络架构、通信传输、可信验证等方面的安全状况。</w:t>
      </w:r>
    </w:p>
    <w:p>
      <w:pPr>
        <w:numPr>
          <w:ilvl w:val="1"/>
          <w:numId w:val="5"/>
        </w:numPr>
        <w:spacing w:line="360" w:lineRule="auto"/>
        <w:ind w:left="640" w:leftChars="200" w:firstLine="0"/>
        <w:outlineLvl w:val="4"/>
        <w:rPr>
          <w:rFonts w:hint="default" w:ascii="宋体" w:hAnsi="宋体" w:eastAsia="宋体"/>
          <w:b/>
          <w:sz w:val="24"/>
          <w:szCs w:val="24"/>
        </w:rPr>
      </w:pPr>
      <w:r>
        <w:rPr>
          <w:rFonts w:ascii="宋体" w:hAnsi="宋体" w:eastAsia="宋体"/>
          <w:b/>
          <w:sz w:val="24"/>
          <w:szCs w:val="24"/>
        </w:rPr>
        <w:t>安全区域边界</w:t>
      </w:r>
    </w:p>
    <w:p>
      <w:pPr>
        <w:tabs>
          <w:tab w:val="left" w:pos="1080"/>
          <w:tab w:val="left" w:pos="1680"/>
        </w:tabs>
        <w:snapToGrid w:val="0"/>
        <w:spacing w:line="360" w:lineRule="auto"/>
        <w:ind w:firstLine="480" w:firstLineChars="200"/>
        <w:rPr>
          <w:rFonts w:hint="default" w:ascii="宋体" w:hAnsi="宋体" w:eastAsia="宋体"/>
          <w:sz w:val="24"/>
          <w:szCs w:val="24"/>
        </w:rPr>
      </w:pPr>
      <w:r>
        <w:rPr>
          <w:rFonts w:ascii="宋体" w:hAnsi="宋体" w:eastAsia="宋体"/>
          <w:sz w:val="24"/>
          <w:szCs w:val="24"/>
        </w:rPr>
        <w:t>安全区域边界是对边界防护、访问控制、入侵防范、恶意代码防范、安全审计、可信验证等方面的测评。</w:t>
      </w:r>
    </w:p>
    <w:p>
      <w:pPr>
        <w:numPr>
          <w:ilvl w:val="1"/>
          <w:numId w:val="5"/>
        </w:numPr>
        <w:spacing w:line="360" w:lineRule="auto"/>
        <w:ind w:left="640" w:leftChars="200" w:firstLine="0"/>
        <w:outlineLvl w:val="4"/>
        <w:rPr>
          <w:rFonts w:hint="default" w:ascii="宋体" w:hAnsi="宋体" w:eastAsia="宋体"/>
          <w:b/>
          <w:sz w:val="24"/>
          <w:szCs w:val="24"/>
        </w:rPr>
      </w:pPr>
      <w:bookmarkStart w:id="35" w:name="_Toc4424569"/>
      <w:r>
        <w:rPr>
          <w:rFonts w:ascii="宋体" w:hAnsi="宋体" w:eastAsia="宋体"/>
          <w:b/>
          <w:sz w:val="24"/>
          <w:szCs w:val="24"/>
        </w:rPr>
        <w:t>安全</w:t>
      </w:r>
      <w:bookmarkEnd w:id="35"/>
      <w:r>
        <w:rPr>
          <w:rFonts w:ascii="宋体" w:hAnsi="宋体" w:eastAsia="宋体"/>
          <w:b/>
          <w:sz w:val="24"/>
          <w:szCs w:val="24"/>
        </w:rPr>
        <w:t>计算环境</w:t>
      </w:r>
    </w:p>
    <w:p>
      <w:pPr>
        <w:tabs>
          <w:tab w:val="left" w:pos="1080"/>
          <w:tab w:val="left" w:pos="1680"/>
        </w:tabs>
        <w:snapToGrid w:val="0"/>
        <w:spacing w:line="360" w:lineRule="auto"/>
        <w:ind w:firstLine="480" w:firstLineChars="200"/>
        <w:rPr>
          <w:rFonts w:hint="default" w:ascii="宋体" w:hAnsi="宋体" w:eastAsia="宋体"/>
          <w:sz w:val="24"/>
          <w:szCs w:val="24"/>
        </w:rPr>
      </w:pPr>
      <w:r>
        <w:rPr>
          <w:rFonts w:ascii="宋体" w:hAnsi="宋体" w:eastAsia="宋体"/>
          <w:sz w:val="24"/>
          <w:szCs w:val="24"/>
        </w:rPr>
        <w:t>安全计算环境是对身份鉴别、访问控制、安全审计、入侵防范、恶意代码防范、可信验证、数据完整性、数据保密性、数据备份恢复、剩余信息保护、个人信息保护等方面的测评。</w:t>
      </w:r>
    </w:p>
    <w:p>
      <w:pPr>
        <w:numPr>
          <w:ilvl w:val="1"/>
          <w:numId w:val="5"/>
        </w:numPr>
        <w:spacing w:line="360" w:lineRule="auto"/>
        <w:ind w:left="640" w:leftChars="200" w:firstLine="0"/>
        <w:outlineLvl w:val="4"/>
        <w:rPr>
          <w:rFonts w:hint="default" w:ascii="宋体" w:hAnsi="宋体" w:eastAsia="宋体"/>
          <w:b/>
          <w:sz w:val="24"/>
          <w:szCs w:val="24"/>
        </w:rPr>
      </w:pPr>
      <w:r>
        <w:rPr>
          <w:rFonts w:ascii="宋体" w:hAnsi="宋体" w:eastAsia="宋体"/>
          <w:b/>
          <w:sz w:val="24"/>
          <w:szCs w:val="24"/>
        </w:rPr>
        <w:t>安全管理中心</w:t>
      </w:r>
    </w:p>
    <w:p>
      <w:pPr>
        <w:tabs>
          <w:tab w:val="left" w:pos="1080"/>
          <w:tab w:val="left" w:pos="1680"/>
        </w:tabs>
        <w:snapToGrid w:val="0"/>
        <w:spacing w:line="360" w:lineRule="auto"/>
        <w:ind w:firstLine="480" w:firstLineChars="200"/>
        <w:rPr>
          <w:rFonts w:hint="default" w:ascii="宋体" w:hAnsi="宋体" w:eastAsia="宋体"/>
          <w:sz w:val="24"/>
          <w:szCs w:val="24"/>
        </w:rPr>
      </w:pPr>
      <w:r>
        <w:rPr>
          <w:rFonts w:ascii="宋体" w:hAnsi="宋体" w:eastAsia="宋体"/>
          <w:sz w:val="24"/>
          <w:szCs w:val="24"/>
        </w:rPr>
        <w:t>安全管理中心是对系统管理、审计管理、安全管理、集中管控等方面的测评。</w:t>
      </w:r>
    </w:p>
    <w:p>
      <w:pPr>
        <w:numPr>
          <w:ilvl w:val="1"/>
          <w:numId w:val="5"/>
        </w:numPr>
        <w:spacing w:line="360" w:lineRule="auto"/>
        <w:ind w:left="640" w:leftChars="200" w:firstLine="0"/>
        <w:outlineLvl w:val="4"/>
        <w:rPr>
          <w:rFonts w:hint="default" w:ascii="宋体" w:hAnsi="宋体" w:eastAsia="宋体"/>
          <w:b/>
          <w:sz w:val="24"/>
          <w:szCs w:val="24"/>
        </w:rPr>
      </w:pPr>
      <w:bookmarkStart w:id="36" w:name="_Toc4424571"/>
      <w:r>
        <w:rPr>
          <w:rFonts w:ascii="宋体" w:hAnsi="宋体" w:eastAsia="宋体"/>
          <w:b/>
          <w:sz w:val="24"/>
          <w:szCs w:val="24"/>
        </w:rPr>
        <w:t>安全管理制度</w:t>
      </w:r>
      <w:bookmarkEnd w:id="36"/>
    </w:p>
    <w:p>
      <w:pPr>
        <w:tabs>
          <w:tab w:val="left" w:pos="1080"/>
          <w:tab w:val="left" w:pos="1680"/>
        </w:tabs>
        <w:snapToGrid w:val="0"/>
        <w:spacing w:line="360" w:lineRule="auto"/>
        <w:ind w:firstLine="480" w:firstLineChars="200"/>
        <w:rPr>
          <w:rFonts w:hint="default" w:ascii="宋体" w:hAnsi="宋体" w:eastAsia="宋体"/>
          <w:sz w:val="24"/>
          <w:szCs w:val="24"/>
        </w:rPr>
      </w:pPr>
      <w:r>
        <w:rPr>
          <w:rFonts w:ascii="宋体" w:hAnsi="宋体" w:eastAsia="宋体"/>
          <w:sz w:val="24"/>
          <w:szCs w:val="24"/>
        </w:rPr>
        <w:t>安全管理制度测评是对安全策略、管理制度、制定和发布、评审和修订进行测评。</w:t>
      </w:r>
    </w:p>
    <w:p>
      <w:pPr>
        <w:numPr>
          <w:ilvl w:val="1"/>
          <w:numId w:val="5"/>
        </w:numPr>
        <w:spacing w:line="360" w:lineRule="auto"/>
        <w:ind w:left="640" w:leftChars="200" w:firstLine="0"/>
        <w:outlineLvl w:val="4"/>
        <w:rPr>
          <w:rFonts w:hint="default" w:ascii="宋体" w:hAnsi="宋体" w:eastAsia="宋体"/>
          <w:b/>
          <w:sz w:val="24"/>
          <w:szCs w:val="24"/>
        </w:rPr>
      </w:pPr>
      <w:bookmarkStart w:id="37" w:name="_Toc4424572"/>
      <w:r>
        <w:rPr>
          <w:rFonts w:ascii="宋体" w:hAnsi="宋体" w:eastAsia="宋体"/>
          <w:b/>
          <w:sz w:val="24"/>
          <w:szCs w:val="24"/>
        </w:rPr>
        <w:t>安全管理机构</w:t>
      </w:r>
      <w:bookmarkEnd w:id="37"/>
    </w:p>
    <w:p>
      <w:pPr>
        <w:tabs>
          <w:tab w:val="left" w:pos="1080"/>
          <w:tab w:val="left" w:pos="1680"/>
        </w:tabs>
        <w:snapToGrid w:val="0"/>
        <w:spacing w:line="360" w:lineRule="auto"/>
        <w:ind w:firstLine="480" w:firstLineChars="200"/>
        <w:rPr>
          <w:rFonts w:hint="default" w:ascii="宋体" w:hAnsi="宋体" w:eastAsia="宋体"/>
          <w:sz w:val="24"/>
          <w:szCs w:val="24"/>
        </w:rPr>
      </w:pPr>
      <w:r>
        <w:rPr>
          <w:rFonts w:ascii="宋体" w:hAnsi="宋体" w:eastAsia="宋体"/>
          <w:sz w:val="24"/>
          <w:szCs w:val="24"/>
        </w:rPr>
        <w:t>安全管理机构测评是对岗位设置、人员配备、授权和审批、沟通和合作、审核和检查等情况进行测评。</w:t>
      </w:r>
    </w:p>
    <w:p>
      <w:pPr>
        <w:numPr>
          <w:ilvl w:val="1"/>
          <w:numId w:val="5"/>
        </w:numPr>
        <w:spacing w:line="360" w:lineRule="auto"/>
        <w:ind w:left="640" w:leftChars="200" w:firstLine="0"/>
        <w:outlineLvl w:val="4"/>
        <w:rPr>
          <w:rFonts w:hint="default" w:ascii="宋体" w:hAnsi="宋体" w:eastAsia="宋体"/>
          <w:b/>
          <w:sz w:val="24"/>
          <w:szCs w:val="24"/>
        </w:rPr>
      </w:pPr>
      <w:bookmarkStart w:id="38" w:name="_Toc4424573"/>
      <w:r>
        <w:rPr>
          <w:rFonts w:ascii="宋体" w:hAnsi="宋体" w:eastAsia="宋体"/>
          <w:b/>
          <w:sz w:val="24"/>
          <w:szCs w:val="24"/>
        </w:rPr>
        <w:t>安全管理</w:t>
      </w:r>
      <w:bookmarkEnd w:id="38"/>
      <w:r>
        <w:rPr>
          <w:rFonts w:ascii="宋体" w:hAnsi="宋体" w:eastAsia="宋体"/>
          <w:b/>
          <w:sz w:val="24"/>
          <w:szCs w:val="24"/>
        </w:rPr>
        <w:t>人员</w:t>
      </w:r>
    </w:p>
    <w:p>
      <w:pPr>
        <w:tabs>
          <w:tab w:val="left" w:pos="1080"/>
          <w:tab w:val="left" w:pos="1680"/>
        </w:tabs>
        <w:snapToGrid w:val="0"/>
        <w:spacing w:line="360" w:lineRule="auto"/>
        <w:ind w:firstLine="480" w:firstLineChars="200"/>
        <w:rPr>
          <w:rFonts w:hint="default" w:ascii="宋体" w:hAnsi="宋体" w:eastAsia="宋体"/>
          <w:sz w:val="24"/>
          <w:szCs w:val="24"/>
        </w:rPr>
      </w:pPr>
      <w:r>
        <w:rPr>
          <w:rFonts w:ascii="宋体" w:hAnsi="宋体" w:eastAsia="宋体"/>
          <w:sz w:val="24"/>
          <w:szCs w:val="24"/>
        </w:rPr>
        <w:t>安全管理人员测评是对人员录用、人员离岗、安全意识教育和培训、外部人员访问管理等情况进行测评。</w:t>
      </w:r>
    </w:p>
    <w:p>
      <w:pPr>
        <w:numPr>
          <w:ilvl w:val="1"/>
          <w:numId w:val="5"/>
        </w:numPr>
        <w:spacing w:line="360" w:lineRule="auto"/>
        <w:ind w:left="640" w:leftChars="200" w:firstLine="0"/>
        <w:outlineLvl w:val="4"/>
        <w:rPr>
          <w:rFonts w:hint="default" w:ascii="宋体" w:hAnsi="宋体" w:eastAsia="宋体"/>
          <w:b/>
          <w:sz w:val="24"/>
          <w:szCs w:val="24"/>
        </w:rPr>
      </w:pPr>
      <w:bookmarkStart w:id="39" w:name="_Toc4424574"/>
      <w:r>
        <w:rPr>
          <w:rFonts w:ascii="宋体" w:hAnsi="宋体" w:eastAsia="宋体"/>
          <w:b/>
          <w:sz w:val="24"/>
          <w:szCs w:val="24"/>
        </w:rPr>
        <w:t>安全建设管理</w:t>
      </w:r>
      <w:bookmarkEnd w:id="39"/>
    </w:p>
    <w:p>
      <w:pPr>
        <w:tabs>
          <w:tab w:val="left" w:pos="1080"/>
          <w:tab w:val="left" w:pos="1680"/>
        </w:tabs>
        <w:snapToGrid w:val="0"/>
        <w:spacing w:line="360" w:lineRule="auto"/>
        <w:ind w:firstLine="480" w:firstLineChars="200"/>
        <w:rPr>
          <w:rFonts w:hint="default" w:ascii="宋体" w:hAnsi="宋体" w:eastAsia="宋体"/>
          <w:sz w:val="24"/>
          <w:szCs w:val="24"/>
        </w:rPr>
      </w:pPr>
      <w:r>
        <w:rPr>
          <w:rFonts w:ascii="宋体" w:hAnsi="宋体" w:eastAsia="宋体"/>
          <w:sz w:val="24"/>
          <w:szCs w:val="24"/>
        </w:rPr>
        <w:t>安全建设管理测评是对建设过程中的系统定级和备案、安全方案设计、产品采购和使用、自行软件开发、外包软件开发、 工程实施、测试验收、系统交付、 等级测评、服务供应商选择等情况进行测评。</w:t>
      </w:r>
    </w:p>
    <w:p>
      <w:pPr>
        <w:numPr>
          <w:ilvl w:val="1"/>
          <w:numId w:val="5"/>
        </w:numPr>
        <w:spacing w:line="360" w:lineRule="auto"/>
        <w:ind w:left="640" w:leftChars="200" w:firstLine="0"/>
        <w:outlineLvl w:val="4"/>
        <w:rPr>
          <w:rFonts w:hint="default" w:ascii="宋体" w:hAnsi="宋体" w:eastAsia="宋体"/>
          <w:b/>
          <w:sz w:val="24"/>
          <w:szCs w:val="24"/>
        </w:rPr>
      </w:pPr>
      <w:bookmarkStart w:id="40" w:name="_Toc4424575"/>
      <w:r>
        <w:rPr>
          <w:rFonts w:ascii="宋体" w:hAnsi="宋体" w:eastAsia="宋体"/>
          <w:b/>
          <w:sz w:val="24"/>
          <w:szCs w:val="24"/>
        </w:rPr>
        <w:t>安全运维管理</w:t>
      </w:r>
      <w:bookmarkEnd w:id="40"/>
    </w:p>
    <w:p>
      <w:pPr>
        <w:tabs>
          <w:tab w:val="left" w:pos="1080"/>
          <w:tab w:val="left" w:pos="1680"/>
        </w:tabs>
        <w:snapToGrid w:val="0"/>
        <w:spacing w:line="360" w:lineRule="auto"/>
        <w:ind w:firstLine="480" w:firstLineChars="200"/>
        <w:rPr>
          <w:rFonts w:hint="default" w:ascii="宋体" w:hAnsi="宋体" w:eastAsia="宋体"/>
          <w:sz w:val="24"/>
          <w:szCs w:val="24"/>
        </w:rPr>
      </w:pPr>
      <w:r>
        <w:rPr>
          <w:rFonts w:ascii="宋体" w:hAnsi="宋体" w:eastAsia="宋体"/>
          <w:sz w:val="24"/>
          <w:szCs w:val="24"/>
        </w:rPr>
        <w:t>安全运维管理测评是对环境管理、资产管理、介质管理、设备维护管理、漏洞和风险管理、网络和系统安全管理、恶意代码防范管理、配置管理、密码管理、变更管理、备份与恢复管理、安全事件处置、 应急预案管理、外包运维管理等情况进行测评。</w:t>
      </w:r>
    </w:p>
    <w:p>
      <w:pPr>
        <w:widowControl/>
        <w:shd w:val="clear" w:color="auto" w:fill="FFFFFF"/>
        <w:spacing w:before="240" w:after="120" w:line="480" w:lineRule="atLeast"/>
        <w:jc w:val="left"/>
        <w:outlineLvl w:val="1"/>
        <w:rPr>
          <w:rFonts w:hint="default" w:ascii="黑体" w:hAnsi="黑体" w:eastAsia="黑体" w:cs="Arial"/>
          <w:b/>
          <w:kern w:val="0"/>
          <w:szCs w:val="32"/>
        </w:rPr>
      </w:pPr>
      <w:bookmarkStart w:id="41" w:name="_Toc53217159"/>
      <w:bookmarkStart w:id="42" w:name="_Toc61612432"/>
      <w:r>
        <w:rPr>
          <w:rFonts w:hint="eastAsia" w:ascii="黑体" w:hAnsi="黑体" w:eastAsia="黑体" w:cs="Arial"/>
          <w:b/>
          <w:kern w:val="0"/>
          <w:szCs w:val="32"/>
          <w:lang w:val="en-US" w:eastAsia="zh-CN"/>
        </w:rPr>
        <w:t>八</w:t>
      </w:r>
      <w:r>
        <w:rPr>
          <w:rFonts w:ascii="黑体" w:hAnsi="黑体" w:eastAsia="黑体" w:cs="Arial"/>
          <w:b/>
          <w:kern w:val="0"/>
          <w:szCs w:val="32"/>
        </w:rPr>
        <w:t>、报价要求</w:t>
      </w:r>
      <w:bookmarkEnd w:id="41"/>
      <w:bookmarkEnd w:id="42"/>
    </w:p>
    <w:p>
      <w:pPr>
        <w:tabs>
          <w:tab w:val="left" w:pos="284"/>
        </w:tabs>
        <w:spacing w:line="360" w:lineRule="auto"/>
        <w:ind w:firstLine="480" w:firstLineChars="200"/>
        <w:jc w:val="left"/>
        <w:rPr>
          <w:rFonts w:hint="default" w:cs="Arial" w:asciiTheme="majorEastAsia" w:hAnsiTheme="majorEastAsia" w:eastAsiaTheme="majorEastAsia"/>
          <w:sz w:val="24"/>
          <w:szCs w:val="24"/>
        </w:rPr>
      </w:pPr>
      <w:r>
        <w:rPr>
          <w:rFonts w:cs="Arial" w:asciiTheme="majorEastAsia" w:hAnsiTheme="majorEastAsia" w:eastAsiaTheme="majorEastAsia"/>
          <w:sz w:val="24"/>
          <w:szCs w:val="24"/>
        </w:rPr>
        <w:t>本项目报总价，报价包含完成本项目服务期间所产生的一切费用（含验收费用），采购人后期不再另行追加费用。</w:t>
      </w:r>
    </w:p>
    <w:p>
      <w:pPr>
        <w:widowControl/>
        <w:shd w:val="clear" w:color="auto" w:fill="FFFFFF"/>
        <w:spacing w:before="240" w:after="120" w:line="480" w:lineRule="atLeast"/>
        <w:jc w:val="left"/>
        <w:outlineLvl w:val="1"/>
        <w:rPr>
          <w:rFonts w:hint="default" w:ascii="黑体" w:hAnsi="黑体" w:eastAsia="黑体" w:cs="Arial"/>
          <w:b/>
          <w:kern w:val="0"/>
          <w:szCs w:val="32"/>
        </w:rPr>
      </w:pPr>
      <w:bookmarkStart w:id="43" w:name="_Toc61612433"/>
      <w:bookmarkStart w:id="44" w:name="_Toc53217160"/>
      <w:r>
        <w:rPr>
          <w:rFonts w:hint="eastAsia" w:ascii="黑体" w:hAnsi="黑体" w:eastAsia="黑体" w:cs="Arial"/>
          <w:b/>
          <w:kern w:val="0"/>
          <w:szCs w:val="32"/>
          <w:lang w:val="en-US" w:eastAsia="zh-CN"/>
        </w:rPr>
        <w:t>九</w:t>
      </w:r>
      <w:r>
        <w:rPr>
          <w:rFonts w:ascii="黑体" w:hAnsi="黑体" w:eastAsia="黑体" w:cs="Arial"/>
          <w:b/>
          <w:kern w:val="0"/>
          <w:szCs w:val="32"/>
        </w:rPr>
        <w:t>、人员配备</w:t>
      </w:r>
      <w:bookmarkEnd w:id="43"/>
      <w:bookmarkEnd w:id="44"/>
    </w:p>
    <w:p>
      <w:pPr>
        <w:spacing w:line="360" w:lineRule="auto"/>
        <w:ind w:firstLine="480" w:firstLineChars="200"/>
        <w:rPr>
          <w:rFonts w:asciiTheme="majorEastAsia" w:hAnsiTheme="majorEastAsia" w:eastAsiaTheme="majorEastAsia"/>
          <w:sz w:val="24"/>
          <w:szCs w:val="24"/>
        </w:rPr>
      </w:pPr>
      <w:r>
        <w:rPr>
          <w:rFonts w:asciiTheme="majorEastAsia" w:hAnsiTheme="majorEastAsia" w:eastAsiaTheme="majorEastAsia"/>
          <w:sz w:val="24"/>
          <w:szCs w:val="24"/>
        </w:rPr>
        <w:t>供应商拟派的安全服务团队不得少于</w:t>
      </w:r>
      <w:r>
        <w:rPr>
          <w:rFonts w:hint="eastAsia" w:asciiTheme="majorEastAsia" w:hAnsiTheme="majorEastAsia" w:eastAsiaTheme="majorEastAsia"/>
          <w:sz w:val="24"/>
          <w:szCs w:val="24"/>
          <w:lang w:val="en-US" w:eastAsia="zh-CN"/>
        </w:rPr>
        <w:t>6</w:t>
      </w:r>
      <w:r>
        <w:rPr>
          <w:rFonts w:asciiTheme="majorEastAsia" w:hAnsiTheme="majorEastAsia" w:eastAsiaTheme="majorEastAsia"/>
          <w:sz w:val="24"/>
          <w:szCs w:val="24"/>
        </w:rPr>
        <w:t>人（至少包括1名高级测评师、</w:t>
      </w:r>
      <w:r>
        <w:rPr>
          <w:rFonts w:hint="eastAsia" w:asciiTheme="majorEastAsia" w:hAnsiTheme="majorEastAsia" w:eastAsiaTheme="majorEastAsia"/>
          <w:sz w:val="24"/>
          <w:szCs w:val="24"/>
          <w:lang w:val="en-US" w:eastAsia="zh-CN"/>
        </w:rPr>
        <w:t>3</w:t>
      </w:r>
      <w:r>
        <w:rPr>
          <w:rFonts w:asciiTheme="majorEastAsia" w:hAnsiTheme="majorEastAsia" w:eastAsiaTheme="majorEastAsia"/>
          <w:sz w:val="24"/>
          <w:szCs w:val="24"/>
        </w:rPr>
        <w:t>名中级测评师）。安全服务团队在合同约定期内派驻采购人到指定地点办公；</w:t>
      </w:r>
      <w:r>
        <w:rPr>
          <w:rFonts w:cs="Arial" w:asciiTheme="majorEastAsia" w:hAnsiTheme="majorEastAsia" w:eastAsiaTheme="majorEastAsia"/>
          <w:sz w:val="24"/>
          <w:szCs w:val="24"/>
        </w:rPr>
        <w:t>成交供应商</w:t>
      </w:r>
      <w:r>
        <w:rPr>
          <w:rFonts w:asciiTheme="majorEastAsia" w:hAnsiTheme="majorEastAsia" w:eastAsiaTheme="majorEastAsia"/>
          <w:sz w:val="24"/>
          <w:szCs w:val="24"/>
        </w:rPr>
        <w:t>需保证在实施阶段主要技术人员必须是全职。</w:t>
      </w:r>
    </w:p>
    <w:p>
      <w:pPr>
        <w:numPr>
          <w:ilvl w:val="0"/>
          <w:numId w:val="0"/>
        </w:numPr>
        <w:spacing w:line="360" w:lineRule="auto"/>
        <w:rPr>
          <w:rFonts w:hint="eastAsia" w:asciiTheme="majorEastAsia" w:hAnsiTheme="majorEastAsia" w:eastAsiaTheme="majorEastAsia"/>
          <w:sz w:val="24"/>
          <w:szCs w:val="24"/>
          <w:lang w:val="en-US" w:eastAsia="zh-CN"/>
        </w:rPr>
      </w:pPr>
      <w:r>
        <w:rPr>
          <w:rFonts w:hint="eastAsia" w:asciiTheme="majorEastAsia" w:hAnsiTheme="majorEastAsia" w:eastAsiaTheme="majorEastAsia"/>
          <w:sz w:val="24"/>
          <w:szCs w:val="24"/>
          <w:lang w:val="en-US" w:eastAsia="zh-CN"/>
        </w:rPr>
        <w:t xml:space="preserve">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方正粗黑宋简体">
    <w:altName w:val="微软雅黑"/>
    <w:panose1 w:val="02000000000000000000"/>
    <w:charset w:val="86"/>
    <w:family w:val="auto"/>
    <w:pitch w:val="default"/>
    <w:sig w:usb0="00000000" w:usb1="00000000" w:usb2="00000012" w:usb3="00000000" w:csb0="00040001" w:csb1="00000000"/>
  </w:font>
  <w:font w:name="仿宋">
    <w:panose1 w:val="02010609060101010101"/>
    <w:charset w:val="86"/>
    <w:family w:val="modern"/>
    <w:pitch w:val="default"/>
    <w:sig w:usb0="800002BF" w:usb1="38CF7CFA" w:usb2="00000016" w:usb3="00000000" w:csb0="00040001" w:csb1="0000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6DE81EA"/>
    <w:multiLevelType w:val="singleLevel"/>
    <w:tmpl w:val="A6DE81EA"/>
    <w:lvl w:ilvl="0" w:tentative="0">
      <w:start w:val="1"/>
      <w:numFmt w:val="decimal"/>
      <w:suff w:val="nothing"/>
      <w:lvlText w:val="（%1）"/>
      <w:lvlJc w:val="left"/>
    </w:lvl>
  </w:abstractNum>
  <w:abstractNum w:abstractNumId="1">
    <w:nsid w:val="041303FE"/>
    <w:multiLevelType w:val="multilevel"/>
    <w:tmpl w:val="041303FE"/>
    <w:lvl w:ilvl="0" w:tentative="0">
      <w:start w:val="1"/>
      <w:numFmt w:val="decimal"/>
      <w:suff w:val="space"/>
      <w:lvlText w:val="%1)"/>
      <w:lvlJc w:val="left"/>
      <w:pPr>
        <w:ind w:left="845" w:hanging="420"/>
      </w:pPr>
      <w:rPr>
        <w:rFonts w:hint="eastAsia"/>
      </w:rPr>
    </w:lvl>
    <w:lvl w:ilvl="1" w:tentative="0">
      <w:start w:val="1"/>
      <w:numFmt w:val="lowerLetter"/>
      <w:lvlText w:val="%2)"/>
      <w:lvlJc w:val="left"/>
      <w:pPr>
        <w:ind w:left="1265" w:hanging="420"/>
      </w:pPr>
      <w:rPr>
        <w:rFonts w:hint="eastAsia"/>
      </w:rPr>
    </w:lvl>
    <w:lvl w:ilvl="2" w:tentative="0">
      <w:start w:val="1"/>
      <w:numFmt w:val="lowerRoman"/>
      <w:lvlText w:val="%3."/>
      <w:lvlJc w:val="right"/>
      <w:pPr>
        <w:ind w:left="1685" w:hanging="420"/>
      </w:pPr>
      <w:rPr>
        <w:rFonts w:hint="eastAsia"/>
      </w:rPr>
    </w:lvl>
    <w:lvl w:ilvl="3" w:tentative="0">
      <w:start w:val="1"/>
      <w:numFmt w:val="decimal"/>
      <w:lvlText w:val="%4."/>
      <w:lvlJc w:val="left"/>
      <w:pPr>
        <w:ind w:left="2105" w:hanging="420"/>
      </w:pPr>
      <w:rPr>
        <w:rFonts w:hint="eastAsia"/>
      </w:rPr>
    </w:lvl>
    <w:lvl w:ilvl="4" w:tentative="0">
      <w:start w:val="1"/>
      <w:numFmt w:val="lowerLetter"/>
      <w:lvlText w:val="%5)"/>
      <w:lvlJc w:val="left"/>
      <w:pPr>
        <w:ind w:left="2525" w:hanging="420"/>
      </w:pPr>
      <w:rPr>
        <w:rFonts w:hint="eastAsia"/>
      </w:rPr>
    </w:lvl>
    <w:lvl w:ilvl="5" w:tentative="0">
      <w:start w:val="1"/>
      <w:numFmt w:val="lowerRoman"/>
      <w:lvlText w:val="%6."/>
      <w:lvlJc w:val="right"/>
      <w:pPr>
        <w:ind w:left="2945" w:hanging="420"/>
      </w:pPr>
      <w:rPr>
        <w:rFonts w:hint="eastAsia"/>
      </w:rPr>
    </w:lvl>
    <w:lvl w:ilvl="6" w:tentative="0">
      <w:start w:val="1"/>
      <w:numFmt w:val="decimal"/>
      <w:lvlText w:val="%7."/>
      <w:lvlJc w:val="left"/>
      <w:pPr>
        <w:ind w:left="3365" w:hanging="420"/>
      </w:pPr>
      <w:rPr>
        <w:rFonts w:hint="eastAsia"/>
      </w:rPr>
    </w:lvl>
    <w:lvl w:ilvl="7" w:tentative="0">
      <w:start w:val="1"/>
      <w:numFmt w:val="lowerLetter"/>
      <w:lvlText w:val="%8)"/>
      <w:lvlJc w:val="left"/>
      <w:pPr>
        <w:ind w:left="3785" w:hanging="420"/>
      </w:pPr>
      <w:rPr>
        <w:rFonts w:hint="eastAsia"/>
      </w:rPr>
    </w:lvl>
    <w:lvl w:ilvl="8" w:tentative="0">
      <w:start w:val="1"/>
      <w:numFmt w:val="lowerRoman"/>
      <w:lvlText w:val="%9."/>
      <w:lvlJc w:val="right"/>
      <w:pPr>
        <w:ind w:left="4205" w:hanging="420"/>
      </w:pPr>
      <w:rPr>
        <w:rFonts w:hint="eastAsia"/>
      </w:rPr>
    </w:lvl>
  </w:abstractNum>
  <w:abstractNum w:abstractNumId="2">
    <w:nsid w:val="1F7203B5"/>
    <w:multiLevelType w:val="multilevel"/>
    <w:tmpl w:val="1F7203B5"/>
    <w:lvl w:ilvl="0" w:tentative="0">
      <w:start w:val="1"/>
      <w:numFmt w:val="decimal"/>
      <w:suff w:val="nothing"/>
      <w:lvlText w:val="（%1）"/>
      <w:lvlJc w:val="left"/>
      <w:pPr>
        <w:ind w:left="0" w:firstLine="0"/>
      </w:pPr>
      <w:rPr>
        <w:rFonts w:hint="default"/>
      </w:rPr>
    </w:lvl>
    <w:lvl w:ilvl="1" w:tentative="0">
      <w:start w:val="1"/>
      <w:numFmt w:val="lowerLetter"/>
      <w:lvlText w:val="%2)"/>
      <w:lvlJc w:val="left"/>
      <w:pPr>
        <w:ind w:left="1322" w:hanging="420"/>
      </w:pPr>
      <w:rPr>
        <w:rFonts w:hint="eastAsia"/>
      </w:rPr>
    </w:lvl>
    <w:lvl w:ilvl="2" w:tentative="0">
      <w:start w:val="1"/>
      <w:numFmt w:val="lowerRoman"/>
      <w:lvlText w:val="%3."/>
      <w:lvlJc w:val="right"/>
      <w:pPr>
        <w:ind w:left="1742" w:hanging="420"/>
      </w:pPr>
      <w:rPr>
        <w:rFonts w:hint="eastAsia"/>
      </w:rPr>
    </w:lvl>
    <w:lvl w:ilvl="3" w:tentative="0">
      <w:start w:val="1"/>
      <w:numFmt w:val="decimal"/>
      <w:lvlText w:val="%4."/>
      <w:lvlJc w:val="left"/>
      <w:pPr>
        <w:ind w:left="2162" w:hanging="420"/>
      </w:pPr>
      <w:rPr>
        <w:rFonts w:hint="eastAsia"/>
      </w:rPr>
    </w:lvl>
    <w:lvl w:ilvl="4" w:tentative="0">
      <w:start w:val="1"/>
      <w:numFmt w:val="lowerLetter"/>
      <w:lvlText w:val="%5)"/>
      <w:lvlJc w:val="left"/>
      <w:pPr>
        <w:ind w:left="2582" w:hanging="420"/>
      </w:pPr>
      <w:rPr>
        <w:rFonts w:hint="eastAsia"/>
      </w:rPr>
    </w:lvl>
    <w:lvl w:ilvl="5" w:tentative="0">
      <w:start w:val="1"/>
      <w:numFmt w:val="lowerRoman"/>
      <w:lvlText w:val="%6."/>
      <w:lvlJc w:val="right"/>
      <w:pPr>
        <w:ind w:left="3002" w:hanging="420"/>
      </w:pPr>
      <w:rPr>
        <w:rFonts w:hint="eastAsia"/>
      </w:rPr>
    </w:lvl>
    <w:lvl w:ilvl="6" w:tentative="0">
      <w:start w:val="1"/>
      <w:numFmt w:val="decimal"/>
      <w:lvlText w:val="%7."/>
      <w:lvlJc w:val="left"/>
      <w:pPr>
        <w:ind w:left="3422" w:hanging="420"/>
      </w:pPr>
      <w:rPr>
        <w:rFonts w:hint="eastAsia"/>
      </w:rPr>
    </w:lvl>
    <w:lvl w:ilvl="7" w:tentative="0">
      <w:start w:val="1"/>
      <w:numFmt w:val="lowerLetter"/>
      <w:lvlText w:val="%8)"/>
      <w:lvlJc w:val="left"/>
      <w:pPr>
        <w:ind w:left="3842" w:hanging="420"/>
      </w:pPr>
      <w:rPr>
        <w:rFonts w:hint="eastAsia"/>
      </w:rPr>
    </w:lvl>
    <w:lvl w:ilvl="8" w:tentative="0">
      <w:start w:val="1"/>
      <w:numFmt w:val="lowerRoman"/>
      <w:lvlText w:val="%9."/>
      <w:lvlJc w:val="right"/>
      <w:pPr>
        <w:ind w:left="4262" w:hanging="420"/>
      </w:pPr>
      <w:rPr>
        <w:rFonts w:hint="eastAsia"/>
      </w:rPr>
    </w:lvl>
  </w:abstractNum>
  <w:abstractNum w:abstractNumId="3">
    <w:nsid w:val="6C792F9E"/>
    <w:multiLevelType w:val="multilevel"/>
    <w:tmpl w:val="6C792F9E"/>
    <w:lvl w:ilvl="0" w:tentative="0">
      <w:start w:val="1"/>
      <w:numFmt w:val="decimal"/>
      <w:lvlText w:val="%1"/>
      <w:lvlJc w:val="left"/>
      <w:pPr>
        <w:tabs>
          <w:tab w:val="left" w:pos="425"/>
        </w:tabs>
        <w:ind w:left="0" w:firstLine="0"/>
      </w:pPr>
      <w:rPr>
        <w:rFonts w:hint="eastAsia"/>
        <w:sz w:val="24"/>
        <w:szCs w:val="24"/>
      </w:rPr>
    </w:lvl>
    <w:lvl w:ilvl="1" w:tentative="0">
      <w:start w:val="1"/>
      <w:numFmt w:val="lowerLetter"/>
      <w:lvlText w:val="%2）"/>
      <w:lvlJc w:val="left"/>
      <w:pPr>
        <w:tabs>
          <w:tab w:val="left" w:pos="567"/>
        </w:tabs>
        <w:ind w:left="567" w:hanging="567"/>
      </w:pPr>
      <w:rPr>
        <w:rFonts w:hint="eastAsia"/>
        <w:sz w:val="24"/>
      </w:rPr>
    </w:lvl>
    <w:lvl w:ilvl="2" w:tentative="0">
      <w:start w:val="1"/>
      <w:numFmt w:val="decimal"/>
      <w:lvlText w:val="%1.%2.%3"/>
      <w:lvlJc w:val="left"/>
      <w:pPr>
        <w:tabs>
          <w:tab w:val="left" w:pos="851"/>
        </w:tabs>
        <w:ind w:left="851" w:hanging="709"/>
      </w:pPr>
      <w:rPr>
        <w:rFonts w:hint="eastAsia"/>
        <w:b w:val="0"/>
        <w:sz w:val="24"/>
        <w:szCs w:val="24"/>
      </w:rPr>
    </w:lvl>
    <w:lvl w:ilvl="3" w:tentative="0">
      <w:start w:val="1"/>
      <w:numFmt w:val="decimal"/>
      <w:lvlText w:val="%1.%2.%3.%4"/>
      <w:lvlJc w:val="left"/>
      <w:pPr>
        <w:tabs>
          <w:tab w:val="left" w:pos="851"/>
        </w:tabs>
        <w:ind w:left="851" w:hanging="851"/>
      </w:pPr>
      <w:rPr>
        <w:rFonts w:hint="default" w:ascii="等线" w:hAnsi="等线" w:eastAsia="等线"/>
        <w:b w:val="0"/>
        <w:i w:val="0"/>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4">
    <w:nsid w:val="6FA61E64"/>
    <w:multiLevelType w:val="singleLevel"/>
    <w:tmpl w:val="6FA61E64"/>
    <w:lvl w:ilvl="0" w:tentative="0">
      <w:start w:val="2"/>
      <w:numFmt w:val="chineseCounting"/>
      <w:suff w:val="nothing"/>
      <w:lvlText w:val="%1、"/>
      <w:lvlJc w:val="left"/>
      <w:rPr>
        <w:rFonts w:hint="eastAsia"/>
      </w:rPr>
    </w:lvl>
  </w:abstractNum>
  <w:num w:numId="1">
    <w:abstractNumId w:val="4"/>
  </w:num>
  <w:num w:numId="2">
    <w:abstractNumId w:val="1"/>
  </w:num>
  <w:num w:numId="3">
    <w:abstractNumId w:val="0"/>
  </w:num>
  <w:num w:numId="4">
    <w:abstractNumId w:val="2"/>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3BB78C7"/>
    <w:rsid w:val="18DC60AE"/>
    <w:rsid w:val="260D66D8"/>
    <w:rsid w:val="53BB78C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hint="eastAsia" w:ascii="Times New Roman" w:hAnsi="Times New Roman" w:eastAsia="仿宋_GB2312" w:cs="Times New Roman"/>
      <w:kern w:val="2"/>
      <w:sz w:val="32"/>
      <w:lang w:val="en-US" w:eastAsia="zh-CN" w:bidi="ar-SA"/>
    </w:rPr>
  </w:style>
  <w:style w:type="paragraph" w:styleId="2">
    <w:name w:val="heading 1"/>
    <w:next w:val="1"/>
    <w:qFormat/>
    <w:uiPriority w:val="0"/>
    <w:pPr>
      <w:keepNext/>
      <w:keepLines/>
      <w:widowControl w:val="0"/>
      <w:spacing w:before="340" w:after="330" w:line="576" w:lineRule="auto"/>
      <w:jc w:val="both"/>
      <w:outlineLvl w:val="0"/>
    </w:pPr>
    <w:rPr>
      <w:rFonts w:hint="default" w:ascii="Times New Roman" w:hAnsi="Times New Roman" w:eastAsia="方正粗黑宋简体" w:cs="Times New Roman"/>
      <w:kern w:val="44"/>
      <w:sz w:val="4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Normal Indent"/>
    <w:qFormat/>
    <w:uiPriority w:val="0"/>
    <w:pPr>
      <w:widowControl w:val="0"/>
      <w:ind w:firstLine="420"/>
      <w:jc w:val="both"/>
    </w:pPr>
    <w:rPr>
      <w:rFonts w:hint="default" w:ascii="Times New Roman" w:hAnsi="Times New Roman" w:eastAsia="宋体" w:cs="Times New Roman"/>
      <w:kern w:val="2"/>
      <w:sz w:val="21"/>
      <w:lang w:val="en-US" w:eastAsia="zh-CN" w:bidi="ar-SA"/>
    </w:rPr>
  </w:style>
  <w:style w:type="paragraph" w:styleId="4">
    <w:name w:val="footer"/>
    <w:qFormat/>
    <w:uiPriority w:val="99"/>
    <w:pPr>
      <w:widowControl w:val="0"/>
      <w:tabs>
        <w:tab w:val="center" w:pos="4153"/>
        <w:tab w:val="right" w:pos="8306"/>
      </w:tabs>
      <w:snapToGrid w:val="0"/>
      <w:jc w:val="left"/>
    </w:pPr>
    <w:rPr>
      <w:rFonts w:hint="eastAsia" w:ascii="Times New Roman" w:hAnsi="Times New Roman" w:eastAsia="仿宋_GB2312" w:cs="Times New Roman"/>
      <w:kern w:val="2"/>
      <w:sz w:val="18"/>
      <w:lang w:val="en-US" w:eastAsia="zh-CN" w:bidi="ar-SA"/>
    </w:rPr>
  </w:style>
  <w:style w:type="paragraph" w:customStyle="1" w:styleId="7">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styleId="8">
    <w:name w:val="List Paragraph"/>
    <w:qFormat/>
    <w:uiPriority w:val="34"/>
    <w:pPr>
      <w:widowControl w:val="0"/>
      <w:ind w:firstLine="420" w:firstLineChars="200"/>
      <w:jc w:val="both"/>
    </w:pPr>
    <w:rPr>
      <w:rFonts w:hint="default" w:asciiTheme="minorHAnsi" w:hAnsiTheme="minorHAnsi" w:eastAsiaTheme="minorEastAsia" w:cstheme="minorBidi"/>
      <w:kern w:val="2"/>
      <w:sz w:val="21"/>
      <w:szCs w:val="22"/>
      <w:lang w:val="en-US" w:eastAsia="zh-CN" w:bidi="ar-SA"/>
    </w:rPr>
  </w:style>
  <w:style w:type="paragraph" w:customStyle="1" w:styleId="9">
    <w:name w:val="国标3级"/>
    <w:semiHidden/>
    <w:qFormat/>
    <w:uiPriority w:val="0"/>
    <w:pPr>
      <w:widowControl w:val="0"/>
      <w:snapToGrid w:val="0"/>
      <w:spacing w:line="312" w:lineRule="exact"/>
      <w:jc w:val="both"/>
    </w:pPr>
    <w:rPr>
      <w:rFonts w:hint="default" w:ascii="宋体" w:hAnsi="宋体" w:eastAsia="宋体" w:cs="Times New Roman"/>
      <w:color w:val="000000"/>
      <w:kern w:val="2"/>
      <w:sz w:val="21"/>
      <w:szCs w:val="22"/>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10</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2021-03-17T02:16:00Z</dcterms:created>
  <dc:creator>麦子_0552</dc:creator>
  <cp:lastModifiedBy>美好时光</cp:lastModifiedBy>
  <dcterms:modified xsi:type="dcterms:W3CDTF">2021-03-17T02:36:40Z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