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sz w:val="32"/>
          <w:lang w:eastAsia="zh-CN"/>
        </w:rPr>
      </w:pPr>
      <w:r>
        <w:rPr>
          <w:rFonts w:hint="eastAsia"/>
          <w:b/>
          <w:sz w:val="32"/>
          <w:lang w:eastAsia="zh-CN"/>
        </w:rPr>
        <w:t>蚌埠市</w:t>
      </w:r>
      <w:r>
        <w:rPr>
          <w:rFonts w:hint="eastAsia"/>
          <w:b/>
          <w:sz w:val="32"/>
        </w:rPr>
        <w:t>第一人民医院发热门诊弱电</w:t>
      </w:r>
      <w:r>
        <w:rPr>
          <w:rFonts w:hint="eastAsia"/>
          <w:b/>
          <w:sz w:val="32"/>
          <w:lang w:eastAsia="zh-CN"/>
        </w:rPr>
        <w:t>智能</w:t>
      </w:r>
      <w:r>
        <w:rPr>
          <w:rFonts w:hint="eastAsia"/>
          <w:b/>
          <w:sz w:val="32"/>
        </w:rPr>
        <w:t>化功能</w:t>
      </w:r>
      <w:r>
        <w:rPr>
          <w:rFonts w:hint="eastAsia"/>
          <w:b/>
          <w:sz w:val="32"/>
          <w:lang w:eastAsia="zh-CN"/>
        </w:rPr>
        <w:t>及</w:t>
      </w:r>
    </w:p>
    <w:p>
      <w:pPr>
        <w:jc w:val="center"/>
        <w:rPr>
          <w:b/>
          <w:sz w:val="32"/>
        </w:rPr>
      </w:pPr>
      <w:r>
        <w:rPr>
          <w:rFonts w:hint="eastAsia"/>
          <w:b/>
          <w:sz w:val="32"/>
          <w:lang w:eastAsia="zh-CN"/>
        </w:rPr>
        <w:t>采购报价</w:t>
      </w:r>
      <w:r>
        <w:rPr>
          <w:rFonts w:hint="eastAsia"/>
          <w:b/>
          <w:sz w:val="32"/>
        </w:rPr>
        <w:t>清单</w:t>
      </w:r>
    </w:p>
    <w:tbl>
      <w:tblPr>
        <w:tblStyle w:val="4"/>
        <w:tblW w:w="1147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2"/>
        <w:gridCol w:w="851"/>
        <w:gridCol w:w="6946"/>
        <w:gridCol w:w="740"/>
        <w:gridCol w:w="394"/>
        <w:gridCol w:w="1417"/>
        <w:gridCol w:w="5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562" w:type="dxa"/>
            <w:shd w:val="clear" w:color="000000" w:fill="BFBFB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851" w:type="dxa"/>
            <w:shd w:val="clear" w:color="000000" w:fill="BFBFB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设备名称</w:t>
            </w:r>
          </w:p>
        </w:tc>
        <w:tc>
          <w:tcPr>
            <w:tcW w:w="6946" w:type="dxa"/>
            <w:shd w:val="clear" w:color="000000" w:fill="BFBFB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参数</w:t>
            </w:r>
          </w:p>
        </w:tc>
        <w:tc>
          <w:tcPr>
            <w:tcW w:w="740" w:type="dxa"/>
            <w:shd w:val="clear" w:color="000000" w:fill="BFBFB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数量</w:t>
            </w:r>
          </w:p>
        </w:tc>
        <w:tc>
          <w:tcPr>
            <w:tcW w:w="394" w:type="dxa"/>
            <w:shd w:val="clear" w:color="000000" w:fill="BFBFB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单位</w:t>
            </w:r>
          </w:p>
        </w:tc>
        <w:tc>
          <w:tcPr>
            <w:tcW w:w="1417" w:type="dxa"/>
            <w:shd w:val="clear" w:color="000000" w:fill="BFBFB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推荐品牌</w:t>
            </w:r>
          </w:p>
        </w:tc>
        <w:tc>
          <w:tcPr>
            <w:tcW w:w="567" w:type="dxa"/>
            <w:shd w:val="clear" w:color="000000" w:fill="BFBFB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56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单口面板</w:t>
            </w:r>
          </w:p>
        </w:tc>
        <w:tc>
          <w:tcPr>
            <w:tcW w:w="6946" w:type="dxa"/>
            <w:shd w:val="clear" w:color="auto" w:fill="auto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执行标准：YD/T926.3、GJB100-86、ANSI/TIA/EIA570、GB/T1245-1987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1、依据国际标准ISO/IEC11801、TIA/EIA568设计制造，可以安装国际keystone标准信息模块；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2、标准86型墙装式面板，与墙面完美切合；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3、接口类型：单口、双口、四口、斜口等类型面板；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4、带有永久性的防尘门，有效防止灰尘和其他污染物进入；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5、由全新工程级高强度PC/ABS合成塑材料制成，更坚固耐用；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6、配套固定螺丝内藏，安装方便；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7、面板表面带可更换的标签位置，便于识别数据和语音端口；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8、燃烧性能符合GB/T 5169.7-1985标准要求；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9、可方便地安装及取出信息模块；</w:t>
            </w:r>
          </w:p>
        </w:tc>
        <w:tc>
          <w:tcPr>
            <w:tcW w:w="7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46</w:t>
            </w:r>
          </w:p>
        </w:tc>
        <w:tc>
          <w:tcPr>
            <w:tcW w:w="39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个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瑞驰达、一舟、爱谱华顿</w:t>
            </w:r>
          </w:p>
        </w:tc>
        <w:tc>
          <w:tcPr>
            <w:tcW w:w="567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56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六类非屏蔽模块</w:t>
            </w:r>
          </w:p>
        </w:tc>
        <w:tc>
          <w:tcPr>
            <w:tcW w:w="6946" w:type="dxa"/>
            <w:shd w:val="clear" w:color="auto" w:fill="auto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执行标准：YD/T926.3、ISO/IEC 11801 ED.2、ANSI/TIA/EIA568-C.2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 xml:space="preserve">1、满足EIA/TIATSB－40-A，568C.2 六类传输性能。 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2、带宽超过250Mhz。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3、满足六类标准支持的所有应用。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4、元器件级产品,高于信道级产品性能。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5、多重平衡技术,双镀层, 50μ镀金；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6、彩色化,7种基本颜色,并可扩充到其他颜色；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7、IDC连接不需要预先剥离导线外皮；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8、最少卡接次数：1200次；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9、打线方式：T568B/A兼容, IDC45°接口,性能更好；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10、强度要求：耐抗击强冲击；</w:t>
            </w:r>
          </w:p>
        </w:tc>
        <w:tc>
          <w:tcPr>
            <w:tcW w:w="7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46</w:t>
            </w:r>
          </w:p>
        </w:tc>
        <w:tc>
          <w:tcPr>
            <w:tcW w:w="39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个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瑞驰达、一舟、爱谱华顿</w:t>
            </w:r>
          </w:p>
        </w:tc>
        <w:tc>
          <w:tcPr>
            <w:tcW w:w="567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56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六类非屏蔽跳线3米</w:t>
            </w:r>
          </w:p>
        </w:tc>
        <w:tc>
          <w:tcPr>
            <w:tcW w:w="6946" w:type="dxa"/>
            <w:shd w:val="clear" w:color="auto" w:fill="auto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执行标准：YD/T926.3、ISO/IEC 11801、ANSI/TIA/EIA568-C.2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1、线材为多芯软线，符合TIA/EIA568-C.2标准对六类软线的要求；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2、通过一次性注塑工艺，保证软线缆与水晶头的牢固连接；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3、水晶头前端分线部分较短，减少线对绞距散开长度，确保同一线对两差分信号阻抗稳定；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4、独特的射出结构，确保线缆弯曲最小半径，保证跳线的最高性能；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5、水晶头簧片镀金50微英寸；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6、100%的严格通过TIA Patch Cord Cat.6测试；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7、清晰的米标贴纸，明确的标明各条长度和接线方式，确保布线中不会出现用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材错误，减少施工方繁琐的标示工作；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8、超过250MHz带宽；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9、插头接插次数≥750次。</w:t>
            </w:r>
          </w:p>
        </w:tc>
        <w:tc>
          <w:tcPr>
            <w:tcW w:w="7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27</w:t>
            </w:r>
          </w:p>
        </w:tc>
        <w:tc>
          <w:tcPr>
            <w:tcW w:w="39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条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瑞驰达、一舟、爱谱华顿</w:t>
            </w:r>
          </w:p>
        </w:tc>
        <w:tc>
          <w:tcPr>
            <w:tcW w:w="567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56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4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六类非屏蔽网线</w:t>
            </w:r>
          </w:p>
        </w:tc>
        <w:tc>
          <w:tcPr>
            <w:tcW w:w="6946" w:type="dxa"/>
            <w:shd w:val="clear" w:color="auto" w:fill="auto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执行标准：YD/T1019、ISO/IEC 11801、ANTI/TIA/EIA568-C.2、EN 50173-2007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1、符合ISO/IEC 11801:2000标准和ANSI/TIA/EIA568-C.2的标准；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2、带宽：传输带宽高达500MHz以上；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3、线缆规格：采用99.996%无氧铜，成品导体直径≥0.57mm，小于±3欧姆的阻抗变化，传输性能更好；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4、设计要求：芯线采用串联设备一次成型，小于1%的绝缘层厚度变化，99.5%铜导体同心度, 近乎完美的线对対绞；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5、支持千兆以太网，最大限度的提高线缆传输速率，为未来应用提供额外带宽；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6、线缆结构：带十字芯骨架结构，更好的隔离效果；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7、通过以太网零误码率传输性能测试；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8、防火等级：可选CM、CMR、CMP以及LSZH等级；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9、单根导体直流电阻：≤9.5Ω/100m，线对直流电阻不平衡率：≤2.5%，工作电容：≤5.6nF/100m，对地不平衡电容：≤330pF/100m，时延差：≤45ns/100m，衰减：≤3.8dB/100m；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10、阻抗：(f=1-100MHz)100±15Ω，(f=101-250MHz)100±22Ω；</w:t>
            </w:r>
          </w:p>
        </w:tc>
        <w:tc>
          <w:tcPr>
            <w:tcW w:w="7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5800</w:t>
            </w:r>
          </w:p>
        </w:tc>
        <w:tc>
          <w:tcPr>
            <w:tcW w:w="39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米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瑞驰达、一舟、爱谱华顿</w:t>
            </w:r>
          </w:p>
        </w:tc>
        <w:tc>
          <w:tcPr>
            <w:tcW w:w="567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56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5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室外4芯单模光缆</w:t>
            </w:r>
          </w:p>
        </w:tc>
        <w:tc>
          <w:tcPr>
            <w:tcW w:w="6946" w:type="dxa"/>
            <w:shd w:val="clear" w:color="auto" w:fill="auto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执行标准：YD/T 769、IEC 60793、YD/T 901、ISO/IEC11801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1、采用束管式结构，有很好的机械性能和温度性能；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2、电信级万兆A级单模纤芯，确保传输速率。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3、松套管材料本身具有良好的耐水解性能和较高的强度；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4、可提供2-12芯多种规格；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5、具有极好的抗压、弯曲性和柔软性，更好的避免外界环境侵害；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6、双面涂塑钢带(PSP)提高光缆的抗透潮能力；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7、具有多种结构供选择，如层绞式、中心束管式；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8、具有金属及非金属加强芯可供选择；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9、提供单护套、双护套两种规格；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10、外护套材质：聚乙烯（PE）、低烟无卤（LSZH）；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11、光缆性能满足行业规定的光传输、机械性能以及燃烧特性的要求。</w:t>
            </w:r>
          </w:p>
        </w:tc>
        <w:tc>
          <w:tcPr>
            <w:tcW w:w="7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400</w:t>
            </w:r>
          </w:p>
        </w:tc>
        <w:tc>
          <w:tcPr>
            <w:tcW w:w="39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米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瑞驰达、一舟、爱谱华顿</w:t>
            </w:r>
          </w:p>
        </w:tc>
        <w:tc>
          <w:tcPr>
            <w:tcW w:w="567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56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6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六类24口配线架</w:t>
            </w:r>
          </w:p>
        </w:tc>
        <w:tc>
          <w:tcPr>
            <w:tcW w:w="6946" w:type="dxa"/>
            <w:shd w:val="clear" w:color="auto" w:fill="auto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执行标准：YD/T926.3、ISO/IEC 11801 、ANSI/TIA/EIA568-C.2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1、端口具有防尘门。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2、包豪斯风格模组式设计，高度对称平行设计，误差率低于0.5%，方便打线。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3、提供24个六类接口，系统性能超过TIA/EIA568-C.2标准对六类的要求；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4、可打印更换的标示纸，清晰方便端口管理；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5、背面带专用理线架，提供牢固稳定的走线空间；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6、金针：模具冲压形成方形针，50μ镀金金针；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7、标准19〞安装，适用范围广，安装、维护、扩充简便快捷；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8、支持T568A和T568B两种接线方式；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9、带有压接端子保护盖，安装完网线后，线头不外露；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10、耐压强度DC:1000V(AC:750V)1min无击穿和飞弧现象；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11、接触力： 至少 100g；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12、插头保持力： 至少 130N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13、插拔次数＞750次；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14、IDC端子：磷青铜，可接受22～26线规单股及多股线缆；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15、带宽超过250MHz；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16、支持110或Krone工具进行端接；</w:t>
            </w:r>
          </w:p>
        </w:tc>
        <w:tc>
          <w:tcPr>
            <w:tcW w:w="7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39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个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瑞驰达、一舟、爱谱华顿</w:t>
            </w:r>
          </w:p>
        </w:tc>
        <w:tc>
          <w:tcPr>
            <w:tcW w:w="567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56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7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六类非屏蔽跳线2米</w:t>
            </w:r>
          </w:p>
        </w:tc>
        <w:tc>
          <w:tcPr>
            <w:tcW w:w="6946" w:type="dxa"/>
            <w:shd w:val="clear" w:color="auto" w:fill="auto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执行标准：YD/T926.3、ISO/IEC 11801、ANSI/TIA/EIA568-C.2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1、线材为多芯软线，符合TIA/EIA568-C.2标准对六类软线的要求；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2、通过一次性注塑工艺，保证软线缆与水晶头的牢固连接；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3、水晶头前端分线部分较短，减少线对绞距散开长度，确保同一线对两差分信号阻抗稳定；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4、独特的射出结构，确保线缆弯曲最小半径，保证跳线的最高性能；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5、水晶头簧片镀金50微英寸；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6、100%的严格通过TIA Patch Cord Cat.6测试；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7、清晰的米标贴纸，明确的标明各条长度和接线方式，确保布线中不会出现用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材错误，减少施工方繁琐的标示工作；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8、超过250MHz带宽；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9、插头接插次数≥750次。</w:t>
            </w:r>
          </w:p>
        </w:tc>
        <w:tc>
          <w:tcPr>
            <w:tcW w:w="7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56</w:t>
            </w:r>
          </w:p>
        </w:tc>
        <w:tc>
          <w:tcPr>
            <w:tcW w:w="39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条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瑞驰达、一舟、爱谱华顿</w:t>
            </w:r>
          </w:p>
        </w:tc>
        <w:tc>
          <w:tcPr>
            <w:tcW w:w="567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56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8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24口理线架</w:t>
            </w:r>
          </w:p>
        </w:tc>
        <w:tc>
          <w:tcPr>
            <w:tcW w:w="6946" w:type="dxa"/>
            <w:shd w:val="clear" w:color="auto" w:fill="auto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 xml:space="preserve">执行标准：YD/T926.3、ISO/IEC 11801 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1、安装于19”标准机柜/机架，1U高度，可提供12档、24档规格；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2、材质：记忆金属材质、高强度优质型材；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3、用于配线架和网络设备间的跳线管理，方便线缆整理；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 xml:space="preserve">4、强大的后端管理功能，能对机架背后的水平或主干线缆进行管理； 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5、规整配线架前端的跳线，让前端跳线走线更加规则整齐；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6、卡接式盖板（扣板），方便布线时拆装；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7、充足的线槽空间，方便梳理线序，固定跳线，将所使用的各种跳线固定收集于内；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8、“包豪斯”简约风设计语言，方便跳线管理，保持跳线整齐不缠绕, 有效和安全的管理，使布线系统整洁美观；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9、安装和拆卸非常方便，使用的数量和位置可以任意调整；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10、使整个跳线的脉络更清晰，更方便日后的管理。</w:t>
            </w:r>
          </w:p>
        </w:tc>
        <w:tc>
          <w:tcPr>
            <w:tcW w:w="7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39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个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瑞驰达、一舟、爱谱华顿</w:t>
            </w:r>
          </w:p>
        </w:tc>
        <w:tc>
          <w:tcPr>
            <w:tcW w:w="567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56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9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110配线架</w:t>
            </w:r>
          </w:p>
        </w:tc>
        <w:tc>
          <w:tcPr>
            <w:tcW w:w="6946" w:type="dxa"/>
            <w:shd w:val="clear" w:color="auto" w:fill="auto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执行标准：YD/T926.3、ISO/IEC 11801 、ANSI/TIA/EIA568-B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1、规格：灵活、丰富的接口选择，50对、100对，高密集度200对、300对。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2、符合ISO/IEC IS11801、CENELEC EN50173及EIA/TIA568B交叉连接要求；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3、提供原厂配件套装，无需另外匹配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4、挂壁式可安装在19英寸标准背板上，组合成机架型配线架（110管理的最佳解决方案）；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5、提供带腿和带背板两种安装方式；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6、110连接块达到超5类性能标准，可支持千兆位数据率。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7、安装方式：19英寸机柜式或墙面安装。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8、卡接线规范围：22－26AWG。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9、标签：自带标准标签和可更换标签。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10、理线方式：配置原装过线槽，为线缆和跳线提供弯曲半径；</w:t>
            </w:r>
          </w:p>
        </w:tc>
        <w:tc>
          <w:tcPr>
            <w:tcW w:w="7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39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个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瑞驰达、一舟、爱谱华顿</w:t>
            </w:r>
          </w:p>
        </w:tc>
        <w:tc>
          <w:tcPr>
            <w:tcW w:w="567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56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10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12口光纤配线架</w:t>
            </w:r>
          </w:p>
        </w:tc>
        <w:tc>
          <w:tcPr>
            <w:tcW w:w="6946" w:type="dxa"/>
            <w:shd w:val="clear" w:color="auto" w:fill="auto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执行标准：YD/T926.3、YD/T778-2006、ANSI/TIA/EIA568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1、产品严格遵循YD/T778-2006《光纤配线架》要求；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2、抽屉式结构，既可在机柜中安装还可挂墙式安装，为结构化布线设计提供了极大的灵活性；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3、全程光纤走纤保护设计，保证光纤弯曲半径≥40mm，确保光纤性能不受布线影响；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4、12个端口适合需求的不同配比；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5、光纤配线架上面可以提供4种及以上的光纤适配器接口；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6、自带有光纤熔接盒，不需要另行配置，最多可熔纤24芯，提高机柜的利用空间；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7、配线架模块塑胶扣卡接式结构，可以从前面拉出模块，将预连接光缆或光纤跳线插上即可，安装与维护快速便捷；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8、钢板配线架外框结构，保证产品的更高机械性能；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9、配线架外壳采用黑色钢琴烤漆处理，外观整洁美观；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10、涂装材料和配线架外框全部符合环保要求；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11、光纤面板表面也采用钢琴烤漆处理，保证与配线架配比外观协调美观；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12、钢质配线架外框机械性能强度高，不易变形，壳体各面均能承受250N以上垂直静压力；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13、壳体表面通过GB/T2423.17-1993标准的烟雾试验48h，表面无肉眼可见锈斑。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为了保证提供货物的质量可靠，以上所有参数必须无条件满足。</w:t>
            </w:r>
          </w:p>
        </w:tc>
        <w:tc>
          <w:tcPr>
            <w:tcW w:w="7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39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个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瑞驰达、一舟、爱谱华顿</w:t>
            </w:r>
          </w:p>
        </w:tc>
        <w:tc>
          <w:tcPr>
            <w:tcW w:w="567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56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11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LC双工耦合器</w:t>
            </w:r>
          </w:p>
        </w:tc>
        <w:tc>
          <w:tcPr>
            <w:tcW w:w="6946" w:type="dxa"/>
            <w:shd w:val="clear" w:color="auto" w:fill="auto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执行标准：YD/T926.3、YD/T1272、ANSI/TIA/EIA568-B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1、产品性能满足并超越YD/T1272标准中对SC、LC、FC、ST等光纤连接器的技术指标要求；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2、外壳采用高密度PC材料，光泽度高，柔韧性好，抗冲击，抗老化；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3、两个标准插头对与适配器插拔10次后，插入损耗小于0.05dB；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4、低插入损耗，重复性好；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5、适配器中部弹性套筒的压力位8~10N；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6、任意标准插头通过适配器连接，插入损耗≤0.35dB（含重复性）；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7、任意标准插头通过适配器连接，回波损耗＞40dB（PC）, ＞60dB（APC）；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8、适配器相对两个标准插头的损耗＜0.2dB(单模)，＜0.1dB(多模)；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9、工作温度-25℃～60℃；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10、确保光纤芯轴与插针体轴线之间的距离；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11、制作连接器使用专业粘接胶，对连接器结构无影响，其物理、化学及光学特性与光纤匹配；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12、符合UL94V-0的高强度PC材料；</w:t>
            </w:r>
          </w:p>
        </w:tc>
        <w:tc>
          <w:tcPr>
            <w:tcW w:w="7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</w:t>
            </w:r>
          </w:p>
        </w:tc>
        <w:tc>
          <w:tcPr>
            <w:tcW w:w="39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个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瑞驰达、一舟、爱谱华顿</w:t>
            </w:r>
          </w:p>
        </w:tc>
        <w:tc>
          <w:tcPr>
            <w:tcW w:w="567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56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12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LC单模单芯尾纤1.5米</w:t>
            </w:r>
          </w:p>
        </w:tc>
        <w:tc>
          <w:tcPr>
            <w:tcW w:w="6946" w:type="dxa"/>
            <w:shd w:val="clear" w:color="auto" w:fill="auto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执行标准：YD/T 926.3、IEC 60332-3C、IEC 60754-2、IEC 61034-2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1、符合ITU-T G.652、IEC-60793-2-50、标准；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2、符合IEC/ISO IS11801(1995)和CENELEC　EN　50173标准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 xml:space="preserve">3、工厂预端接并测试保证其传输性能； 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 xml:space="preserve">4、可以快速配置和组网，减少现场安装时间；  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 xml:space="preserve">5、防火阻燃符合IEC 60332-3C标准； 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 xml:space="preserve">6、无腐蚀性气体排放符合IEC 60754-2标准； 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 xml:space="preserve">7、低烟无卤排放符合IEC 61034-2标准； 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8、插入损耗小于0.3dB，回波损耗大于50dB；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9、长度、纤芯数、物理结构等可由客户需求定制。</w:t>
            </w:r>
          </w:p>
        </w:tc>
        <w:tc>
          <w:tcPr>
            <w:tcW w:w="7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4</w:t>
            </w:r>
          </w:p>
        </w:tc>
        <w:tc>
          <w:tcPr>
            <w:tcW w:w="39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条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瑞驰达、一舟、爱谱华顿</w:t>
            </w:r>
          </w:p>
        </w:tc>
        <w:tc>
          <w:tcPr>
            <w:tcW w:w="567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56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13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LC单模双芯跳线3米</w:t>
            </w:r>
          </w:p>
        </w:tc>
        <w:tc>
          <w:tcPr>
            <w:tcW w:w="6946" w:type="dxa"/>
            <w:shd w:val="clear" w:color="auto" w:fill="auto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执行标准：YD/T 926.3、IEC 60332-3C、IEC 60754-2、IEC 61034-2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1、符合ITU-T G.652、IEC-60793-2-50、标准；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2、符合IEC/ISO IS11801(1995)和CENELEC　EN　50173标准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 xml:space="preserve">3、工厂预端接并测试保证其传输性能； 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 xml:space="preserve">4、可以快速配置和组网，减少现场安装时间；  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 xml:space="preserve">5、防火阻燃符合IEC 60332-3C标准； 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 xml:space="preserve">6、无腐蚀性气体排放符合IEC 60754-2标准； 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 xml:space="preserve">7、低烟无卤排放符合IEC 61034-2标准； 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8、插入损耗小于0.3dB，回波损耗大于50dB；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9、长度、纤芯数、物理结构等可由客户需求定制。</w:t>
            </w:r>
          </w:p>
        </w:tc>
        <w:tc>
          <w:tcPr>
            <w:tcW w:w="7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</w:t>
            </w:r>
          </w:p>
        </w:tc>
        <w:tc>
          <w:tcPr>
            <w:tcW w:w="39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条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瑞驰达、一舟、爱谱华顿</w:t>
            </w:r>
          </w:p>
        </w:tc>
        <w:tc>
          <w:tcPr>
            <w:tcW w:w="567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56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14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42U网络机柜</w:t>
            </w:r>
          </w:p>
        </w:tc>
        <w:tc>
          <w:tcPr>
            <w:tcW w:w="6946" w:type="dxa"/>
            <w:shd w:val="clear" w:color="auto" w:fill="auto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执行标准：ANSI/EIA RS-310-D, IEC297-2D, IN41491:PART1, DIN41494: PART7, GB/T3047.2标准;兼容ETSI标准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 xml:space="preserve">1、42U:高2000mm*深600mm*宽600mm 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2、前后网门，也可提供玻璃门；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3、内装风扇、电源及门锁，可多组组合、可放置标准网络交换及通讯设备；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4、选用的机柜箱体严格按照国家标准表面在喷塑前进行了酸洗、磷化处理和热镀锌处理，喷塑表面亚光、色泽均匀，外表面达到国家2级，内表面达到国家4级；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5、机柜箱体表面平整度在1平方米内低于1mm，箱体表面折角处无皱纹、裂纹、毛刺、焊接等痕迹；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6、门开启灵活，无卡阻现象，门与门框的缝隙不超过1.5mm，且四周缝隙保持一致。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7、配6孔电源插座板；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 xml:space="preserve">8、厚度：门板1.2mm 立柱2.0mm；   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9、机柜里面含：机柜螺丝1包  固定脚 4个 扳手1把  机柜层板 3块 6位PDU 1 个 风机 1个。</w:t>
            </w:r>
          </w:p>
        </w:tc>
        <w:tc>
          <w:tcPr>
            <w:tcW w:w="7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39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台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国产</w:t>
            </w:r>
          </w:p>
        </w:tc>
        <w:tc>
          <w:tcPr>
            <w:tcW w:w="567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56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15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24口POE交换机</w:t>
            </w:r>
          </w:p>
        </w:tc>
        <w:tc>
          <w:tcPr>
            <w:tcW w:w="6946" w:type="dxa"/>
            <w:shd w:val="clear" w:color="auto" w:fill="auto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1.固化千兆电接口≥24个，千兆光接口≥4个;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2.交换容量≥192Gbps，包转发率≥42Mpps；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3.支持PoE供电口≥24个，整机输出功率≥370W,单口最大输出功率≥30W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4.支持智能PoE，智能调度功率分配，实现充分利用POE的有效功率，用多少给多少，不再浪费；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5.支持支持PoE过流保护，保障端口或设备不被烧毁；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6.MAC地址表大小≥8K；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7.工作温度：-5℃~55℃；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8.支持云管理，远程管理和维护设备,支持极速智能配置；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9.为保证设备稳定运行，接口防浪涌能力≥6kv；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10.符合国家低碳环保等政策要求，支持IEEE802.3az标准的EEE节能技术；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11.支持移动运维APP，支持智能客服、400技术支持、设备报修、扫码查保修期、网络测速、版本推荐等功能；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为了保证提供货物的质量可靠，以上所有参数必须无条件满足。</w:t>
            </w:r>
          </w:p>
        </w:tc>
        <w:tc>
          <w:tcPr>
            <w:tcW w:w="7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</w:t>
            </w:r>
          </w:p>
        </w:tc>
        <w:tc>
          <w:tcPr>
            <w:tcW w:w="39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台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锐捷、华为、中兴</w:t>
            </w:r>
          </w:p>
        </w:tc>
        <w:tc>
          <w:tcPr>
            <w:tcW w:w="567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56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16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8口POE交换机</w:t>
            </w:r>
          </w:p>
        </w:tc>
        <w:tc>
          <w:tcPr>
            <w:tcW w:w="6946" w:type="dxa"/>
            <w:shd w:val="clear" w:color="auto" w:fill="auto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1.固化千兆电接口≥8个，千兆光接口≥2个;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2.交换容量≥192Gbps，包转发率≥15Mpps；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3.支持PoE供电口≥8个，整机输出功率≥125W,单口最大输出功率≥30W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4.支持智能PoE，智能调度功率分配，实现充分利用POE的有效功率，用多少给多少，不再浪费；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5.支持支持PoE过流保护，保障端口或设备不被烧毁；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6.MAC地址表大小≥8K；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7.工作温度：-5℃~55℃；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8.支持云管理，远程管理和维护设备,支持极速智能配置；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9.为保证设备稳定运行，接口防浪涌能力≥6kv；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10.符合国家低碳环保等政策要求，支持IEEE802.3az标准的EEE节能技术；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11.支持移动运维APP，支持智能客服、400技术支持、设备报修、扫码查保修期、网络测速、版本推荐等功能；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为了保证提供货物的质量可靠，以上所有参数必须无条件满足。</w:t>
            </w:r>
          </w:p>
        </w:tc>
        <w:tc>
          <w:tcPr>
            <w:tcW w:w="7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</w:t>
            </w:r>
          </w:p>
        </w:tc>
        <w:tc>
          <w:tcPr>
            <w:tcW w:w="39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台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锐捷、华为、中兴</w:t>
            </w:r>
          </w:p>
        </w:tc>
        <w:tc>
          <w:tcPr>
            <w:tcW w:w="567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56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17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24口接入交换机</w:t>
            </w:r>
          </w:p>
        </w:tc>
        <w:tc>
          <w:tcPr>
            <w:tcW w:w="6946" w:type="dxa"/>
            <w:shd w:val="clear" w:color="auto" w:fill="auto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1、固化千兆电接口≥24个，SFP+万兆光接口≥4个；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2、交换容量≥3.3Tbps，包转发率≥120Mpps；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3、为确保设备内部处理无瓶颈，设备内存≥512MB，Flash≥256MB；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4、支持IPv4、IPv6静态路由、RIP、RIPng、OSPFv2、OSPFv3等三层路由和组播功能，支持RoutingPolic功能；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5、为保证设备稳定运行，接口防浪涌能力≥10KV；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6、支持虚拟化功能，虚拟化故障恢复时间小于30ms；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7、支持专门基础网络保护机制，增强设备防攻击能力，即使在受到攻击的情况下，也能保护系统各种服务的正常运行，保持较低的CPU负载，从而保障整个网络的稳定运行；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8、支持OpenFlow1.3协议的SDN软件定义网络；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9、支持EEE、端口休眠，支持CWMP(TR069)协议；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为了保证提供货物的质量可靠，以上所有参数必须无条件满足。</w:t>
            </w:r>
          </w:p>
        </w:tc>
        <w:tc>
          <w:tcPr>
            <w:tcW w:w="7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</w:t>
            </w:r>
          </w:p>
        </w:tc>
        <w:tc>
          <w:tcPr>
            <w:tcW w:w="39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台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锐捷、华为、中兴</w:t>
            </w:r>
          </w:p>
        </w:tc>
        <w:tc>
          <w:tcPr>
            <w:tcW w:w="567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56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18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网络摄像机</w:t>
            </w:r>
          </w:p>
        </w:tc>
        <w:tc>
          <w:tcPr>
            <w:tcW w:w="6946" w:type="dxa"/>
            <w:shd w:val="clear" w:color="auto" w:fill="auto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1.支持绊线入侵，区域入侵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2.采用高性能200万像素1/2.8英寸CMOS图像传感器，低照度效果好，图像清晰度高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3.可输出200万（1920×1080）@25fps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4.在1920x1080 @25fps下，码率设定为1Mbps，RJ45输出，清晰度不小于1000TVL。支持H.265编码，压缩比高，实现超低码流传输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 xml:space="preserve">5.最低照度彩色：0.005lx，黑白：0.0005 lx。 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6.支持最多同时开启25个视频窗口进行画面浏览。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7.支持通过IE浏览器对视频图像的亮度，对比度，饱和度，锐度，gamma进行设置。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8.支持MAC地址访问控制功能，可添加100个MAC地址。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9.内置红外补光灯，最大红外监控距离50米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10.支持走廊模式，宽动态，3D降噪，强光抑制，背光补偿，数字水印，适用不同监控环境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11.支持ROI，SMART H.264/H.265，灵活编码，适用不同带宽和存储环境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12.支持内置MIC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13.支持DC12V/POE供电方式，电压值12V，方便工程安装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14.支持IP67防护等级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为了保证提供货物的质量可靠，以上所有参数必须无条件满足。</w:t>
            </w:r>
          </w:p>
        </w:tc>
        <w:tc>
          <w:tcPr>
            <w:tcW w:w="7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29</w:t>
            </w:r>
          </w:p>
        </w:tc>
        <w:tc>
          <w:tcPr>
            <w:tcW w:w="39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个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大华、海康威视、科达</w:t>
            </w:r>
          </w:p>
        </w:tc>
        <w:tc>
          <w:tcPr>
            <w:tcW w:w="567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56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19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呼叫对讲软件</w:t>
            </w:r>
          </w:p>
        </w:tc>
        <w:tc>
          <w:tcPr>
            <w:tcW w:w="6946" w:type="dxa"/>
            <w:shd w:val="clear" w:color="auto" w:fill="auto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1.护理通讯信息管理平台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   基于B/S架构，支持床位和房间一览表管理与显示，支持住院人数、护理级别人数统计和关键字搜索，可完成入院登记、出院、换床、欠费催缴、服药提醒、二维码扫描等日常业务。提供床头、门口、信息看板等图形用户界面的在线编辑工具，支持日常呼叫护理记录查询、导出和录音回放，具有完善的医护人员排班、病区公告信息、护理标识预警颜色等管理功能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2.呼叫数据统计分析平台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基于B/S架构，通过护士长或院领导账号可登录到系统WEB页面查看自己科室或全院的呼叫数据统计分析，如“房间对比图”、“呼叫日线图”、“分时曲线图”、“呼叫量对比图”、“呼叫响应对比图”、“入住统计图”等一系列图表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3.护理信息公共发布平台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通过护士站液晶电视，可显示床位一览表和实时呼叫信息，也可显示护理工作一览表，包括病区当日患者流动、住院人数、病危病重、手术安排、值班医生、要事留言等信息。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4.呼叫中心实时监控平台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   可在总值班室或呼叫中心使用，实时监控各病区的呼叫处理情况，直观显示各病区的床位及入住情况，以便及时反应出系统的运行状态，提高响应速度，优化服务质量。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5.数据接口服务器平台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支持与Oracle、SQLServer、Sybase、DB2、Cache等大型数据库和第三方数据接口对接，提供中间表、触发器、消息机制、WebService等多种连接方式。负责监听各护理单元工作状态，并提供多种调试和查询分析工具。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为了保证提供货物的质量可靠，以上所有参数必须无条件满足。</w:t>
            </w:r>
          </w:p>
        </w:tc>
        <w:tc>
          <w:tcPr>
            <w:tcW w:w="7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39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套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亚华、来邦、飞星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56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信息交换管理主机</w:t>
            </w:r>
          </w:p>
        </w:tc>
        <w:tc>
          <w:tcPr>
            <w:tcW w:w="6946" w:type="dxa"/>
            <w:shd w:val="clear" w:color="auto" w:fill="auto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1. 两线制系统电源集中控制中心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2. 专业级语音通话效果，支持扩展外部扬声器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3. 支持扩展通用电话机，具备呼叫对讲、来电显示功能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4. 支持扩展标准CAN、485通讯外设，提供开发接口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5. 具有防雷击、防浪涌、短路保护、接地保护、过载保护等多重保护电路系统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为了保证提供货物的质量可靠，以上所有参数必须无条件满足。</w:t>
            </w:r>
          </w:p>
        </w:tc>
        <w:tc>
          <w:tcPr>
            <w:tcW w:w="7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39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台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亚华、来邦、飞星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56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21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IP网络医护主机</w:t>
            </w:r>
          </w:p>
        </w:tc>
        <w:tc>
          <w:tcPr>
            <w:tcW w:w="6946" w:type="dxa"/>
            <w:shd w:val="clear" w:color="auto" w:fill="auto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1. 采用IP组网方式，直接与服务器进行网络通信，完全脱机运行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2. 采用10.2英寸工业级液晶屏，支持触摸操作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3. 可显示床位一览表和患者在院详细信息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4. 采用7色LED灯醒目提示呼叫患者的护理级别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5. 支持呼叫对讲、呼叫显示、呼叫未处理提醒与一键清除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6. 集成病区可视门禁系统，提供多种开锁模式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7. 可播放背景音乐和宣教广播，提供多个播放列表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8. 可选择对所有或部分患者、办公区进行话筒广播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9. 真人发声语音报号，播报次数可调，支持循环播报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10. 自动调节系统通话音量，提供至少4个可调时段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11. 自动控制分机屏幕亮度，关屏时段可调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12. 实时监测患者的输液进度和吸氧时间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13. 实时上传呼叫、通话、清除、护理等记录信息，支持通话录音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14. 具有线路检测、故障报警、故障巡检、工作日志记录功能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为了保证提供货物的质量可靠，以上所有参数必须无条件满足。</w:t>
            </w:r>
          </w:p>
        </w:tc>
        <w:tc>
          <w:tcPr>
            <w:tcW w:w="7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39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台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亚华、来邦、飞星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56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22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门口分机</w:t>
            </w:r>
          </w:p>
        </w:tc>
        <w:tc>
          <w:tcPr>
            <w:tcW w:w="6946" w:type="dxa"/>
            <w:shd w:val="clear" w:color="auto" w:fill="auto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1. 采用两线制组网方式，即电源线、数据线、语音线共用一条两芯线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2. 采用10.4英寸液晶屏，16M真彩色，品牌A规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3. 可显示病房号、床位号、患者名、宣教文字和医护人员照片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4. 可显示至少3幅背景图片，支持在线下载和循环播放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5. 采用两侧7色门灯提示本房间的护理级别，呼叫时常亮，护士进入时闪烁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6. 支持门口刷卡(IC/ID)，实现护士查房和呼叫评价功能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7. 支持与护士站的呼叫对讲、护士定位和一键清除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8. 支持呼叫转移，可接收其他房间的呼叫信息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9. 支持扩展增援呼叫，可向其他医护人员请求应急帮助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10. 采用挂板安装方式，定制门牌且多样可选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为了保证提供货物的质量可靠，以上所有参数必须无条件满足。</w:t>
            </w:r>
          </w:p>
        </w:tc>
        <w:tc>
          <w:tcPr>
            <w:tcW w:w="7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16</w:t>
            </w:r>
          </w:p>
        </w:tc>
        <w:tc>
          <w:tcPr>
            <w:tcW w:w="39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个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亚华、来邦、飞星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56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23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床头分机</w:t>
            </w:r>
          </w:p>
        </w:tc>
        <w:tc>
          <w:tcPr>
            <w:tcW w:w="6946" w:type="dxa"/>
            <w:shd w:val="clear" w:color="auto" w:fill="auto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1. 采用两线制组网方式，即电源线、数据线、语音线共用一条两芯线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2. 采用7英寸液晶屏，全触摸操作，16M真彩色，品牌A规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3. 待机界面可显示患者的住院信息、护理信息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4. 菜单界面可查询至少一万字的入院须知、医嘱、药费、医生简介和医生照片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5. 支持护士定位，可提示和记录护士所在病房号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6. 支持呼叫转移，可接收其他房间的呼叫信息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7. 支持增援呼叫，可向其他医护人员请求应急帮助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8. 支持吸氧计时，可自动记录吸氧时长并定时报警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9. 支持新短消息、呼叫等待、服药、缴费等语音提醒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10. 支持对护士工作进行满意度评价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11. 手持呼叫开关可呼叫、对讲、控制背光灯，带强磁底座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12. 采用氧化铝金属面板工艺，不变色、耐侵蚀、易清理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为了保证提供货物的质量可靠，以上所有参数必须无条件满足。</w:t>
            </w:r>
          </w:p>
        </w:tc>
        <w:tc>
          <w:tcPr>
            <w:tcW w:w="7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16</w:t>
            </w:r>
          </w:p>
        </w:tc>
        <w:tc>
          <w:tcPr>
            <w:tcW w:w="39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个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亚华、来邦、飞星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56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24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卫生间分机</w:t>
            </w:r>
          </w:p>
        </w:tc>
        <w:tc>
          <w:tcPr>
            <w:tcW w:w="6946" w:type="dxa"/>
            <w:shd w:val="clear" w:color="auto" w:fill="auto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1. 紧急情况的呼叫设计，优先级最高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2. 呼叫时有明显的声光报警提示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3. 防水、防尘工艺设计，适合卫生间、淋浴间等潮湿环境使用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4. 有专用取消按键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为了保证提供货物的质量可靠，以上所有参数必须无条件满足。</w:t>
            </w:r>
          </w:p>
        </w:tc>
        <w:tc>
          <w:tcPr>
            <w:tcW w:w="7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16</w:t>
            </w:r>
          </w:p>
        </w:tc>
        <w:tc>
          <w:tcPr>
            <w:tcW w:w="39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个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亚华、来邦、飞星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56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走廊显示屏</w:t>
            </w:r>
          </w:p>
        </w:tc>
        <w:tc>
          <w:tcPr>
            <w:tcW w:w="6946" w:type="dxa"/>
            <w:shd w:val="clear" w:color="auto" w:fill="auto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1.双面Φ3.75点阵，可显示2行*8个汉字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2.呼叫时循环显示护理级别、病房号和床位号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3.待机时滚动显示日期、时间、护士位置、温馨提示等信息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为了保证提供货物的质量可靠，以上所有参数必须无条件满足。</w:t>
            </w:r>
          </w:p>
        </w:tc>
        <w:tc>
          <w:tcPr>
            <w:tcW w:w="7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39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台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亚华、来邦、飞星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56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26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无线发射主机</w:t>
            </w:r>
          </w:p>
        </w:tc>
        <w:tc>
          <w:tcPr>
            <w:tcW w:w="6946" w:type="dxa"/>
            <w:shd w:val="clear" w:color="auto" w:fill="auto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1. 自动组网,可通过内部总线级联使用,实现大面积无线覆盖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2. 支持挂载多台移动医护分机、输液报警器等无线终端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3. 支持双向无线数据传输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4. 通过与无线通讯主机通讯，实现呼叫清除、输液报警等功能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5. 具有40个独立设定频道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为了保证提供货物的质量可靠，以上所有参数必须无条件满足。</w:t>
            </w:r>
          </w:p>
        </w:tc>
        <w:tc>
          <w:tcPr>
            <w:tcW w:w="7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39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个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亚华、来邦、飞星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56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27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移动医护分机</w:t>
            </w:r>
          </w:p>
        </w:tc>
        <w:tc>
          <w:tcPr>
            <w:tcW w:w="6946" w:type="dxa"/>
            <w:shd w:val="clear" w:color="auto" w:fill="auto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1. 以无线方式传输数据和语音，满足护士随身携带要求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2. 长时间待机，满足一天以上护理使用要求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3. 液晶屏显示多条呼叫信息，可直接接听对讲或清除处理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4. 提醒方式可设置为响铃、震动、静音，音量多级可调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5. 提供40个通讯频道，每个频道支持多个无线终端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6. 可以对点阵屏式无线通讯主机参数进行设定和调节 （包括：时间、音量、报号次数等）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为了保证提供货物的质量可靠，以上所有参数必须无条件满足。</w:t>
            </w:r>
          </w:p>
        </w:tc>
        <w:tc>
          <w:tcPr>
            <w:tcW w:w="7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39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个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亚华、来邦、飞星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56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28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网络多媒体控制器</w:t>
            </w:r>
          </w:p>
        </w:tc>
        <w:tc>
          <w:tcPr>
            <w:tcW w:w="6946" w:type="dxa"/>
            <w:shd w:val="clear" w:color="auto" w:fill="auto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1.与液晶电视搭配使用，通过局域网与NIS服务器进行网络数据传输，对数据进行观的视觉化展示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2.采用HDMI高清线缆连接液晶电视，其显示分辨率1920*1080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3.采用Linux 3.0.35，其服务器等级的系统稳定性保证了信息看板7X24的工作稳定性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4.模板化界面可根据医院各个护理单元不同的需求定制显示界面，充分满足不同科室的差异化需求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5.处理器 2x Cortex-A9  1GHZ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6.内存 1GB DDR3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7.闪存 4GB eMMC 4.5 高速闪存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8.操作系统 Linux 3.0.35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为了保证提供货物的质量可靠，以上所有参数必须无条件满足。</w:t>
            </w:r>
          </w:p>
        </w:tc>
        <w:tc>
          <w:tcPr>
            <w:tcW w:w="7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39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个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亚华、来邦、飞星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56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29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电源线</w:t>
            </w:r>
          </w:p>
        </w:tc>
        <w:tc>
          <w:tcPr>
            <w:tcW w:w="6946" w:type="dxa"/>
            <w:shd w:val="clear" w:color="auto" w:fill="auto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RVV2*1.5</w:t>
            </w:r>
          </w:p>
        </w:tc>
        <w:tc>
          <w:tcPr>
            <w:tcW w:w="7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1200</w:t>
            </w:r>
          </w:p>
        </w:tc>
        <w:tc>
          <w:tcPr>
            <w:tcW w:w="39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米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国产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56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30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弱电桥架</w:t>
            </w:r>
          </w:p>
        </w:tc>
        <w:tc>
          <w:tcPr>
            <w:tcW w:w="6946" w:type="dxa"/>
            <w:shd w:val="clear" w:color="auto" w:fill="auto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200*100</w:t>
            </w:r>
          </w:p>
        </w:tc>
        <w:tc>
          <w:tcPr>
            <w:tcW w:w="7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96</w:t>
            </w:r>
          </w:p>
        </w:tc>
        <w:tc>
          <w:tcPr>
            <w:tcW w:w="39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米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国产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56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31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集成服务</w:t>
            </w:r>
          </w:p>
        </w:tc>
        <w:tc>
          <w:tcPr>
            <w:tcW w:w="6946" w:type="dxa"/>
            <w:shd w:val="clear" w:color="auto" w:fill="auto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包含所有设备的安装调试，安装调试后网络、监控、呼叫对讲须与院方各子系统无缝对接。主要辅材有：RJ-45 头、护套、插排、PVC 线槽等。使布线整洁美观便于清理。含安装调试施工费用。</w:t>
            </w:r>
          </w:p>
        </w:tc>
        <w:tc>
          <w:tcPr>
            <w:tcW w:w="7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39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项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国产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</w:tr>
    </w:tbl>
    <w:p>
      <w:pPr>
        <w:jc w:val="both"/>
        <w:rPr>
          <w:rFonts w:hint="eastAsia" w:ascii="宋体" w:hAnsi="宋体" w:eastAsia="宋体" w:cs="宋体"/>
          <w:b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/>
          <w:sz w:val="28"/>
          <w:szCs w:val="28"/>
          <w:lang w:eastAsia="zh-CN"/>
        </w:rPr>
        <w:t>备注：</w:t>
      </w:r>
    </w:p>
    <w:p>
      <w:pPr>
        <w:numPr>
          <w:ilvl w:val="0"/>
          <w:numId w:val="1"/>
        </w:numPr>
        <w:jc w:val="both"/>
        <w:rPr>
          <w:rFonts w:hint="eastAsia" w:ascii="宋体" w:hAnsi="宋体" w:eastAsia="宋体" w:cs="宋体"/>
          <w:b w:val="0"/>
          <w:bCs/>
          <w:sz w:val="22"/>
          <w:szCs w:val="22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2"/>
          <w:szCs w:val="22"/>
          <w:lang w:val="en-US" w:eastAsia="zh-CN"/>
        </w:rPr>
        <w:t>工期30日历天。</w:t>
      </w:r>
    </w:p>
    <w:p>
      <w:pPr>
        <w:numPr>
          <w:ilvl w:val="0"/>
          <w:numId w:val="1"/>
        </w:numPr>
        <w:jc w:val="both"/>
        <w:rPr>
          <w:rFonts w:hint="eastAsia" w:ascii="宋体" w:hAnsi="宋体" w:eastAsia="宋体" w:cs="宋体"/>
          <w:b w:val="0"/>
          <w:bCs/>
          <w:sz w:val="22"/>
          <w:szCs w:val="22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2"/>
          <w:szCs w:val="22"/>
          <w:lang w:val="en-US" w:eastAsia="zh-CN"/>
        </w:rPr>
        <w:t>预算金额15.6</w:t>
      </w:r>
      <w:bookmarkStart w:id="0" w:name="_GoBack"/>
      <w:bookmarkEnd w:id="0"/>
      <w:r>
        <w:rPr>
          <w:rFonts w:hint="eastAsia" w:ascii="宋体" w:hAnsi="宋体" w:eastAsia="宋体" w:cs="宋体"/>
          <w:b w:val="0"/>
          <w:bCs/>
          <w:sz w:val="22"/>
          <w:szCs w:val="22"/>
          <w:lang w:val="en-US" w:eastAsia="zh-CN"/>
        </w:rPr>
        <w:t>万元。</w:t>
      </w:r>
    </w:p>
    <w:p>
      <w:pPr>
        <w:numPr>
          <w:ilvl w:val="0"/>
          <w:numId w:val="1"/>
        </w:numPr>
        <w:jc w:val="both"/>
        <w:rPr>
          <w:rFonts w:hint="eastAsia" w:ascii="宋体" w:hAnsi="宋体" w:eastAsia="宋体" w:cs="宋体"/>
          <w:b w:val="0"/>
          <w:bCs/>
          <w:sz w:val="22"/>
          <w:szCs w:val="22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2"/>
          <w:szCs w:val="22"/>
          <w:lang w:val="en-US" w:eastAsia="zh-CN"/>
        </w:rPr>
        <w:t>付款方式：</w:t>
      </w:r>
      <w:r>
        <w:rPr>
          <w:rFonts w:hint="eastAsia" w:ascii="宋体" w:hAnsi="宋体" w:cs="仿宋"/>
          <w:color w:val="000000"/>
          <w:sz w:val="22"/>
          <w:szCs w:val="22"/>
        </w:rPr>
        <w:t>本工程不实行预付款，所有工程竣工验收合格完成后</w:t>
      </w:r>
      <w:r>
        <w:rPr>
          <w:rFonts w:ascii="宋体" w:hAnsi="宋体" w:cs="仿宋"/>
          <w:color w:val="000000"/>
          <w:sz w:val="22"/>
          <w:szCs w:val="22"/>
        </w:rPr>
        <w:t>30</w:t>
      </w:r>
      <w:r>
        <w:rPr>
          <w:rFonts w:hint="eastAsia" w:ascii="宋体" w:hAnsi="宋体" w:cs="仿宋"/>
          <w:color w:val="000000"/>
          <w:sz w:val="22"/>
          <w:szCs w:val="22"/>
        </w:rPr>
        <w:t>日内乙方凭正规发票付至</w:t>
      </w:r>
      <w:r>
        <w:rPr>
          <w:rFonts w:ascii="宋体" w:hAnsi="宋体" w:cs="仿宋"/>
          <w:color w:val="000000"/>
          <w:sz w:val="22"/>
          <w:szCs w:val="22"/>
        </w:rPr>
        <w:t>85%</w:t>
      </w:r>
      <w:r>
        <w:rPr>
          <w:rFonts w:hint="eastAsia" w:ascii="宋体" w:hAnsi="宋体" w:cs="仿宋"/>
          <w:color w:val="000000"/>
          <w:sz w:val="22"/>
          <w:szCs w:val="22"/>
        </w:rPr>
        <w:t>，余下质保金</w:t>
      </w:r>
      <w:r>
        <w:rPr>
          <w:rFonts w:ascii="宋体" w:hAnsi="宋体" w:cs="仿宋"/>
          <w:color w:val="000000"/>
          <w:sz w:val="22"/>
          <w:szCs w:val="22"/>
        </w:rPr>
        <w:t>15%</w:t>
      </w:r>
      <w:r>
        <w:rPr>
          <w:rFonts w:hint="eastAsia" w:ascii="宋体" w:hAnsi="宋体" w:cs="仿宋"/>
          <w:color w:val="000000"/>
          <w:sz w:val="22"/>
          <w:szCs w:val="22"/>
        </w:rPr>
        <w:t>，每年支付</w:t>
      </w:r>
      <w:r>
        <w:rPr>
          <w:rFonts w:ascii="宋体" w:hAnsi="宋体" w:cs="仿宋"/>
          <w:color w:val="000000"/>
          <w:sz w:val="22"/>
          <w:szCs w:val="22"/>
        </w:rPr>
        <w:t>5%</w:t>
      </w:r>
      <w:r>
        <w:rPr>
          <w:rFonts w:hint="eastAsia" w:ascii="宋体" w:hAnsi="宋体" w:cs="仿宋"/>
          <w:color w:val="000000"/>
          <w:sz w:val="22"/>
          <w:szCs w:val="22"/>
        </w:rPr>
        <w:t>，三年付清（均无息）。（乙方每次报付款需经甲方现场认定核实签字并报业主批准）</w:t>
      </w:r>
    </w:p>
    <w:p>
      <w:pPr>
        <w:numPr>
          <w:ilvl w:val="0"/>
          <w:numId w:val="1"/>
        </w:numPr>
        <w:jc w:val="both"/>
        <w:rPr>
          <w:rFonts w:hint="eastAsia" w:ascii="宋体" w:hAnsi="宋体" w:eastAsia="宋体" w:cs="宋体"/>
          <w:b w:val="0"/>
          <w:bCs/>
          <w:sz w:val="22"/>
          <w:szCs w:val="22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2"/>
          <w:szCs w:val="22"/>
          <w:lang w:val="en-US" w:eastAsia="zh-CN"/>
        </w:rPr>
        <w:t>保修期：3年。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2EF6BE"/>
    <w:multiLevelType w:val="singleLevel"/>
    <w:tmpl w:val="0A2EF6BE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2DA4"/>
    <w:rsid w:val="000218A6"/>
    <w:rsid w:val="000F6EB0"/>
    <w:rsid w:val="0010619C"/>
    <w:rsid w:val="0012199D"/>
    <w:rsid w:val="001C0304"/>
    <w:rsid w:val="001D462A"/>
    <w:rsid w:val="001E48D8"/>
    <w:rsid w:val="002F5C2A"/>
    <w:rsid w:val="004E4135"/>
    <w:rsid w:val="00585ECC"/>
    <w:rsid w:val="00654E35"/>
    <w:rsid w:val="00712DA4"/>
    <w:rsid w:val="0076188C"/>
    <w:rsid w:val="00897432"/>
    <w:rsid w:val="00947884"/>
    <w:rsid w:val="00B47A5E"/>
    <w:rsid w:val="00C76ACD"/>
    <w:rsid w:val="00C9486D"/>
    <w:rsid w:val="00CF0940"/>
    <w:rsid w:val="1CAD20BA"/>
    <w:rsid w:val="26E50BFE"/>
    <w:rsid w:val="3B253DEE"/>
    <w:rsid w:val="41732E95"/>
    <w:rsid w:val="632C4217"/>
    <w:rsid w:val="728D27B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1564</Words>
  <Characters>8917</Characters>
  <Lines>74</Lines>
  <Paragraphs>20</Paragraphs>
  <TotalTime>1</TotalTime>
  <ScaleCrop>false</ScaleCrop>
  <LinksUpToDate>false</LinksUpToDate>
  <CharactersWithSpaces>10461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2021-01-20T03:13:00Z</dcterms:created>
  <dc:creator>NTKO</dc:creator>
  <cp:lastModifiedBy>美好时光</cp:lastModifiedBy>
  <dcterms:modified xsi:type="dcterms:W3CDTF">2021-02-20T09:09:09Z</dcterms:modified>
  <cp:revision>32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