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jc w:val="center"/>
        <w:rPr>
          <w:rFonts w:hint="eastAsia" w:ascii="宋体" w:hAnsi="宋体" w:cs="宋体"/>
          <w:kern w:val="0"/>
          <w:sz w:val="72"/>
          <w:szCs w:val="72"/>
          <w:shd w:val="clear" w:color="auto" w:fill="FFFFFF"/>
        </w:rPr>
      </w:pPr>
      <w:r>
        <w:rPr>
          <w:rFonts w:hint="eastAsia" w:ascii="宋体" w:hAnsi="宋体" w:cs="宋体"/>
          <w:kern w:val="0"/>
          <w:sz w:val="72"/>
          <w:szCs w:val="72"/>
          <w:shd w:val="clear" w:color="auto" w:fill="FFFFFF"/>
        </w:rPr>
        <w:t>蚌埠市第三人民医院工程设计外包服务项目</w:t>
      </w:r>
    </w:p>
    <w:p>
      <w:pPr>
        <w:rPr>
          <w:rFonts w:hint="eastAsia"/>
        </w:rPr>
      </w:pPr>
    </w:p>
    <w:p>
      <w:pPr>
        <w:rPr>
          <w:rFonts w:hint="eastAsia"/>
        </w:rPr>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15"/>
        <w:ind w:firstLine="560"/>
        <w:rPr>
          <w:sz w:val="28"/>
          <w:szCs w:val="28"/>
        </w:rPr>
      </w:pPr>
    </w:p>
    <w:p>
      <w:pPr>
        <w:pStyle w:val="15"/>
        <w:ind w:left="0" w:leftChars="0" w:firstLine="1680" w:firstLineChars="600"/>
        <w:jc w:val="left"/>
        <w:rPr>
          <w:rFonts w:hint="eastAsia" w:ascii="宋体" w:hAnsi="宋体" w:cs="宋体" w:eastAsiaTheme="minorEastAsia"/>
          <w:sz w:val="28"/>
          <w:szCs w:val="28"/>
          <w:lang w:eastAsia="zh-CN"/>
        </w:rPr>
      </w:pPr>
      <w:r>
        <w:rPr>
          <w:rFonts w:hint="eastAsia" w:ascii="宋体" w:hAnsi="宋体" w:cs="宋体"/>
          <w:sz w:val="28"/>
          <w:szCs w:val="28"/>
        </w:rPr>
        <w:t>编制单位：</w:t>
      </w:r>
      <w:r>
        <w:rPr>
          <w:rFonts w:hint="eastAsia" w:ascii="宋体" w:hAnsi="宋体" w:cs="宋体"/>
          <w:sz w:val="28"/>
          <w:szCs w:val="28"/>
          <w:u w:val="single"/>
        </w:rPr>
        <w:t>蚌埠市第</w:t>
      </w:r>
      <w:r>
        <w:rPr>
          <w:rFonts w:hint="eastAsia" w:ascii="宋体" w:hAnsi="宋体" w:cs="宋体"/>
          <w:sz w:val="28"/>
          <w:szCs w:val="28"/>
          <w:u w:val="single"/>
          <w:lang w:val="en-US" w:eastAsia="zh-CN"/>
        </w:rPr>
        <w:t>三</w:t>
      </w:r>
      <w:r>
        <w:rPr>
          <w:rFonts w:hint="eastAsia" w:ascii="宋体" w:hAnsi="宋体" w:cs="宋体"/>
          <w:sz w:val="28"/>
          <w:szCs w:val="28"/>
          <w:u w:val="single"/>
        </w:rPr>
        <w:t>人民医院</w:t>
      </w:r>
    </w:p>
    <w:p>
      <w:pPr>
        <w:pStyle w:val="15"/>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4</w:t>
      </w:r>
      <w:r>
        <w:rPr>
          <w:rFonts w:hint="eastAsia" w:ascii="宋体" w:hAnsi="宋体" w:cs="宋体"/>
          <w:sz w:val="28"/>
          <w:szCs w:val="28"/>
          <w:u w:val="single"/>
        </w:rPr>
        <w:t>年</w:t>
      </w:r>
      <w:r>
        <w:rPr>
          <w:rFonts w:hint="eastAsia" w:ascii="宋体" w:hAnsi="宋体" w:cs="宋体"/>
          <w:sz w:val="28"/>
          <w:szCs w:val="28"/>
          <w:u w:val="single"/>
          <w:lang w:val="en-US" w:eastAsia="zh-CN"/>
        </w:rPr>
        <w:t>5</w:t>
      </w:r>
      <w:r>
        <w:rPr>
          <w:rFonts w:hint="eastAsia" w:ascii="宋体" w:hAnsi="宋体" w:cs="宋体"/>
          <w:sz w:val="28"/>
          <w:szCs w:val="28"/>
          <w:u w:val="single"/>
        </w:rPr>
        <w:t>月</w:t>
      </w:r>
      <w:r>
        <w:rPr>
          <w:rFonts w:hint="eastAsia" w:ascii="宋体" w:hAnsi="宋体" w:cs="宋体"/>
          <w:sz w:val="28"/>
          <w:szCs w:val="28"/>
          <w:u w:val="single"/>
          <w:lang w:val="en-US" w:eastAsia="zh-CN"/>
        </w:rPr>
        <w:t>14</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15"/>
        <w:rPr>
          <w:kern w:val="0"/>
          <w:shd w:val="clear" w:color="auto" w:fill="FFFFFF"/>
        </w:rPr>
      </w:pPr>
    </w:p>
    <w:p/>
    <w:p>
      <w:pPr>
        <w:pStyle w:val="15"/>
        <w:rPr>
          <w:kern w:val="0"/>
          <w:shd w:val="clear" w:color="auto" w:fill="FFFFFF"/>
        </w:rPr>
      </w:pPr>
    </w:p>
    <w:p>
      <w:pPr>
        <w:pStyle w:val="15"/>
        <w:rPr>
          <w:kern w:val="0"/>
          <w:shd w:val="clear" w:color="auto" w:fill="FFFFFF"/>
        </w:rPr>
      </w:pPr>
    </w:p>
    <w:p>
      <w:pPr>
        <w:pStyle w:val="15"/>
        <w:rPr>
          <w:kern w:val="0"/>
          <w:shd w:val="clear" w:color="auto" w:fill="FFFFFF"/>
        </w:rPr>
      </w:pPr>
    </w:p>
    <w:p>
      <w:pPr>
        <w:pStyle w:val="15"/>
        <w:rPr>
          <w:kern w:val="0"/>
          <w:shd w:val="clear" w:color="auto" w:fill="FFFFFF"/>
        </w:rPr>
      </w:pPr>
    </w:p>
    <w:p>
      <w:pPr>
        <w:rPr>
          <w:kern w:val="0"/>
          <w:shd w:val="clear" w:color="auto" w:fill="FFFFFF"/>
        </w:rPr>
      </w:pPr>
    </w:p>
    <w:p>
      <w:pPr>
        <w:pStyle w:val="15"/>
        <w:rPr>
          <w:kern w:val="0"/>
          <w:shd w:val="clear" w:color="auto" w:fill="FFFFFF"/>
        </w:rPr>
      </w:pPr>
    </w:p>
    <w:p>
      <w:pPr>
        <w:pStyle w:val="15"/>
        <w:ind w:left="0" w:leftChars="0" w:firstLine="0" w:firstLineChars="0"/>
        <w:rPr>
          <w:kern w:val="0"/>
          <w:shd w:val="clear" w:color="auto" w:fill="FFFFFF"/>
        </w:rPr>
      </w:pP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1、项目编号：ZCGF-BBSY-2024026 </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2、项目名称：蚌埠市第三人民医院工程设计外包服务项目</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3、项目单位：蚌埠市第三人民医院</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4、资金来源：自筹资金</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5、年度预算：49万元</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6、服务期限：1年 </w:t>
      </w:r>
    </w:p>
    <w:p>
      <w:pPr>
        <w:widowControl/>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7、</w:t>
      </w:r>
      <w:r>
        <w:rPr>
          <w:rFonts w:hint="eastAsia" w:ascii="宋体" w:hAnsi="宋体"/>
          <w:color w:val="auto"/>
          <w:sz w:val="24"/>
          <w:szCs w:val="24"/>
        </w:rPr>
        <w:t>最高限价：95/平方米（工程设计（包含加固设计））</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8、项目概况：因我院每年公共区域基建类改造工程项目和临床科室改建项目较多，为进一步提升后勤工程类项目规范设计效率，招标1家具有相应资质的工程设计公司，承担蚌埠三院后勤工程设计，工程设计范围包括不但限于已有建筑物改建、防水工程、绿化工程、幕墙工程等，设计成果文件质量需达到采购方要求。 9、拟采用的评审方法：综合评分法；</w:t>
      </w:r>
    </w:p>
    <w:p>
      <w:pPr>
        <w:widowControl/>
        <w:numPr>
          <w:ilvl w:val="0"/>
          <w:numId w:val="0"/>
        </w:numPr>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10、付款方式：  采购方每个季度按照《蚌埠三院工程设计外包服务质量考核表》对中标单位进行打分，分值做为中标单位咨询费用付款的依据，90分及以上按照中标费率进行付款，80~89分按照中标费率的90%付款，70~79分按照中标费率的80%付款,60~69分按照中标费率的70%，分值低于60分，招标人有权解除合同。</w:t>
      </w:r>
    </w:p>
    <w:p>
      <w:pPr>
        <w:pStyle w:val="13"/>
        <w:widowControl/>
        <w:shd w:val="clear" w:color="auto" w:fill="FFFFFF"/>
        <w:spacing w:beforeAutospacing="0" w:afterAutospacing="0" w:line="360" w:lineRule="auto"/>
        <w:rPr>
          <w:rFonts w:hint="eastAsia" w:ascii="宋体" w:hAnsi="宋体" w:cs="宋体"/>
          <w:color w:val="auto"/>
          <w:szCs w:val="24"/>
          <w:highlight w:val="none"/>
          <w:shd w:val="clear" w:color="auto" w:fill="FFFFFF"/>
        </w:rPr>
      </w:pPr>
      <w:r>
        <w:rPr>
          <w:rFonts w:hint="eastAsia" w:ascii="宋体" w:hAnsi="宋体" w:cs="宋体"/>
          <w:color w:val="auto"/>
          <w:szCs w:val="24"/>
          <w:highlight w:val="none"/>
          <w:shd w:val="clear" w:color="auto" w:fill="FFFFFF"/>
          <w:lang w:val="en-US" w:eastAsia="zh-CN"/>
        </w:rPr>
        <w:t>11</w:t>
      </w:r>
      <w:r>
        <w:rPr>
          <w:rFonts w:hint="eastAsia" w:ascii="宋体" w:hAnsi="宋体" w:cs="宋体"/>
          <w:color w:val="auto"/>
          <w:szCs w:val="24"/>
          <w:highlight w:val="none"/>
          <w:shd w:val="clear" w:color="auto" w:fill="FFFFFF"/>
        </w:rPr>
        <w:t>、申请人的资格要求：</w:t>
      </w:r>
    </w:p>
    <w:p>
      <w:pPr>
        <w:widowControl/>
        <w:shd w:val="clear" w:color="auto" w:fill="FFFFFF"/>
        <w:spacing w:line="550" w:lineRule="exact"/>
        <w:ind w:firstLine="230" w:firstLineChars="100"/>
        <w:jc w:val="left"/>
        <w:rPr>
          <w:rFonts w:ascii="宋体" w:hAnsi="宋体"/>
          <w:color w:val="auto"/>
          <w:kern w:val="0"/>
          <w:sz w:val="23"/>
          <w:szCs w:val="23"/>
        </w:rPr>
      </w:pPr>
      <w:r>
        <w:rPr>
          <w:rFonts w:hint="eastAsia" w:ascii="宋体" w:hAnsi="宋体"/>
          <w:color w:val="auto"/>
          <w:kern w:val="0"/>
          <w:sz w:val="23"/>
          <w:szCs w:val="23"/>
        </w:rPr>
        <w:t>1、符合《中华人民共和国政府采购法》第二十二条规定；</w:t>
      </w:r>
    </w:p>
    <w:p>
      <w:pPr>
        <w:widowControl/>
        <w:shd w:val="clear" w:color="auto" w:fill="FFFFFF"/>
        <w:spacing w:line="550" w:lineRule="exact"/>
        <w:ind w:firstLine="230" w:firstLineChars="100"/>
        <w:jc w:val="left"/>
        <w:rPr>
          <w:rFonts w:hint="eastAsia" w:ascii="宋体" w:hAnsi="宋体"/>
          <w:color w:val="auto"/>
          <w:kern w:val="0"/>
          <w:sz w:val="23"/>
          <w:szCs w:val="23"/>
        </w:rPr>
      </w:pPr>
      <w:r>
        <w:rPr>
          <w:rFonts w:hint="eastAsia" w:ascii="宋体" w:hAnsi="宋体"/>
          <w:color w:val="auto"/>
          <w:kern w:val="0"/>
          <w:sz w:val="23"/>
          <w:szCs w:val="23"/>
        </w:rPr>
        <w:t>2、 投标人应具有建筑行业（建筑工程）乙级及以上资质。</w:t>
      </w:r>
    </w:p>
    <w:p>
      <w:pPr>
        <w:widowControl/>
        <w:shd w:val="clear" w:color="auto" w:fill="FFFFFF"/>
        <w:spacing w:line="550" w:lineRule="exact"/>
        <w:ind w:firstLine="230" w:firstLineChars="100"/>
        <w:jc w:val="left"/>
        <w:rPr>
          <w:rFonts w:ascii="宋体" w:hAnsi="宋体"/>
          <w:kern w:val="0"/>
          <w:sz w:val="23"/>
          <w:szCs w:val="23"/>
        </w:rPr>
      </w:pPr>
      <w:r>
        <w:rPr>
          <w:rFonts w:hint="eastAsia" w:ascii="宋体" w:hAnsi="宋体"/>
          <w:kern w:val="0"/>
          <w:sz w:val="23"/>
          <w:szCs w:val="23"/>
        </w:rPr>
        <w:t>3、本次采购不接受联合体投标。</w:t>
      </w:r>
    </w:p>
    <w:p>
      <w:pPr>
        <w:pStyle w:val="13"/>
        <w:widowControl/>
        <w:shd w:val="clear" w:color="auto" w:fill="FFFFFF"/>
        <w:spacing w:beforeAutospacing="0" w:afterAutospacing="0" w:line="360" w:lineRule="auto"/>
        <w:ind w:left="239" w:leftChars="114" w:firstLine="0" w:firstLineChars="0"/>
        <w:rPr>
          <w:rFonts w:hint="eastAsia" w:ascii="宋体" w:hAnsi="宋体" w:eastAsia="宋体" w:cs="宋体"/>
          <w:color w:val="auto"/>
          <w:kern w:val="0"/>
          <w:sz w:val="24"/>
          <w:szCs w:val="24"/>
          <w:lang w:val="en-US" w:eastAsia="zh-CN" w:bidi="ar-SA"/>
        </w:rPr>
      </w:pPr>
      <w:r>
        <w:rPr>
          <w:rFonts w:hint="eastAsia" w:ascii="宋体" w:hAnsi="宋体" w:eastAsia="宋体" w:cs="宋体"/>
          <w:color w:val="auto"/>
          <w:kern w:val="0"/>
          <w:sz w:val="24"/>
          <w:szCs w:val="24"/>
          <w:lang w:val="en-US" w:eastAsia="zh-CN" w:bidi="ar-SA"/>
        </w:rPr>
        <w:br w:type="page"/>
      </w:r>
    </w:p>
    <w:p>
      <w:pPr>
        <w:ind w:firstLine="643" w:firstLineChars="200"/>
        <w:rPr>
          <w:rFonts w:hint="eastAsia" w:ascii="宋体" w:hAnsi="宋体" w:cs="宋体"/>
          <w:b/>
          <w:bCs w:val="0"/>
          <w:sz w:val="32"/>
          <w:szCs w:val="32"/>
          <w:lang w:val="en-US" w:eastAsia="zh-CN"/>
        </w:rPr>
      </w:pPr>
      <w:r>
        <w:rPr>
          <w:rFonts w:hint="eastAsia" w:ascii="宋体" w:hAnsi="宋体" w:cs="宋体"/>
          <w:b/>
          <w:bCs w:val="0"/>
          <w:sz w:val="32"/>
          <w:szCs w:val="32"/>
          <w:lang w:val="en-US" w:eastAsia="zh-CN"/>
        </w:rPr>
        <w:t>蚌埠市第三人民医院工程设计外包服务项目采购需求</w:t>
      </w:r>
    </w:p>
    <w:p>
      <w:pPr>
        <w:snapToGrid w:val="0"/>
        <w:spacing w:line="520" w:lineRule="atLeast"/>
        <w:rPr>
          <w:sz w:val="28"/>
          <w:szCs w:val="28"/>
        </w:rPr>
      </w:pPr>
      <w:r>
        <w:rPr>
          <w:rFonts w:hint="eastAsia"/>
          <w:sz w:val="28"/>
          <w:szCs w:val="28"/>
        </w:rPr>
        <w:t>一、项目概况</w:t>
      </w:r>
    </w:p>
    <w:p>
      <w:pPr>
        <w:ind w:firstLine="560" w:firstLineChars="200"/>
        <w:rPr>
          <w:rFonts w:ascii="宋体" w:hAnsi="宋体"/>
          <w:sz w:val="28"/>
          <w:szCs w:val="28"/>
        </w:rPr>
      </w:pPr>
      <w:r>
        <w:rPr>
          <w:rFonts w:hint="eastAsia" w:ascii="宋体" w:hAnsi="宋体" w:cs="宋体"/>
          <w:bCs/>
          <w:sz w:val="28"/>
          <w:szCs w:val="28"/>
        </w:rPr>
        <w:t>因我院每年公共区域基建类改造工程项目和临床科室改建项目较多，为进一步提升后勤工程类项目规范设计效率，招标1家具有相应资质的工程设计公司，承担蚌埠三院后勤工程设计，工程设计范围包括不但限于已有建筑物改建、防水工程、绿化工程、幕墙工程、加固设计等，设计成果文件质量需达到采购方要求。</w:t>
      </w:r>
    </w:p>
    <w:p>
      <w:pPr>
        <w:numPr>
          <w:ilvl w:val="0"/>
          <w:numId w:val="2"/>
        </w:numPr>
        <w:snapToGrid w:val="0"/>
        <w:spacing w:line="520" w:lineRule="atLeast"/>
        <w:rPr>
          <w:sz w:val="28"/>
          <w:szCs w:val="28"/>
        </w:rPr>
      </w:pPr>
      <w:r>
        <w:rPr>
          <w:rFonts w:hint="eastAsia"/>
          <w:sz w:val="28"/>
          <w:szCs w:val="28"/>
        </w:rPr>
        <w:t>服务要求</w:t>
      </w:r>
    </w:p>
    <w:p>
      <w:pPr>
        <w:numPr>
          <w:ilvl w:val="0"/>
          <w:numId w:val="3"/>
        </w:numPr>
        <w:snapToGrid w:val="0"/>
        <w:spacing w:line="520" w:lineRule="atLeast"/>
        <w:rPr>
          <w:sz w:val="28"/>
          <w:szCs w:val="28"/>
        </w:rPr>
      </w:pPr>
      <w:r>
        <w:rPr>
          <w:rFonts w:hint="eastAsia"/>
          <w:sz w:val="28"/>
          <w:szCs w:val="28"/>
        </w:rPr>
        <w:t>参加采购人实施项目的实地勘察、方案图设计、初步设计、施工图设计，及采购人要求对设计文件进行优化设计（直至采购人满意为止）；</w:t>
      </w:r>
    </w:p>
    <w:p>
      <w:pPr>
        <w:numPr>
          <w:ilvl w:val="0"/>
          <w:numId w:val="3"/>
        </w:numPr>
        <w:snapToGrid w:val="0"/>
        <w:spacing w:line="520" w:lineRule="atLeast"/>
        <w:rPr>
          <w:sz w:val="28"/>
          <w:szCs w:val="28"/>
        </w:rPr>
      </w:pPr>
      <w:r>
        <w:rPr>
          <w:rFonts w:hint="eastAsia"/>
          <w:sz w:val="28"/>
          <w:szCs w:val="28"/>
        </w:rPr>
        <w:t>设计文件经采购人（或由采购人指定具有相关资质的第三方）审核通过后，按设计文件编制工程概算；</w:t>
      </w:r>
    </w:p>
    <w:p>
      <w:pPr>
        <w:numPr>
          <w:ilvl w:val="0"/>
          <w:numId w:val="3"/>
        </w:numPr>
        <w:snapToGrid w:val="0"/>
        <w:spacing w:line="520" w:lineRule="atLeast"/>
        <w:rPr>
          <w:sz w:val="28"/>
          <w:szCs w:val="28"/>
        </w:rPr>
      </w:pPr>
      <w:r>
        <w:rPr>
          <w:rFonts w:hint="eastAsia"/>
          <w:sz w:val="28"/>
          <w:szCs w:val="28"/>
        </w:rPr>
        <w:t>根据设计内容编制的工程量清单，预算价不得超过采购人设定的该项目的投资概算；</w:t>
      </w:r>
    </w:p>
    <w:p>
      <w:pPr>
        <w:numPr>
          <w:ilvl w:val="0"/>
          <w:numId w:val="3"/>
        </w:numPr>
        <w:snapToGrid w:val="0"/>
        <w:spacing w:line="520" w:lineRule="atLeast"/>
        <w:rPr>
          <w:sz w:val="28"/>
          <w:szCs w:val="28"/>
        </w:rPr>
      </w:pPr>
      <w:r>
        <w:rPr>
          <w:rFonts w:hint="eastAsia"/>
          <w:sz w:val="28"/>
          <w:szCs w:val="28"/>
        </w:rPr>
        <w:t>中标的设计单位除完成相关的设计工作外，还要做好以下工作：</w:t>
      </w:r>
    </w:p>
    <w:p>
      <w:pPr>
        <w:numPr>
          <w:ilvl w:val="0"/>
          <w:numId w:val="4"/>
        </w:numPr>
        <w:snapToGrid w:val="0"/>
        <w:spacing w:line="520" w:lineRule="atLeast"/>
        <w:ind w:left="560"/>
        <w:rPr>
          <w:sz w:val="28"/>
          <w:szCs w:val="28"/>
        </w:rPr>
      </w:pPr>
      <w:r>
        <w:rPr>
          <w:rFonts w:hint="eastAsia"/>
          <w:sz w:val="28"/>
          <w:szCs w:val="28"/>
        </w:rPr>
        <w:t>对采购人在施工采购招标中提供服务；</w:t>
      </w:r>
    </w:p>
    <w:p>
      <w:pPr>
        <w:numPr>
          <w:ilvl w:val="0"/>
          <w:numId w:val="4"/>
        </w:numPr>
        <w:snapToGrid w:val="0"/>
        <w:spacing w:line="520" w:lineRule="atLeast"/>
        <w:ind w:left="560"/>
        <w:rPr>
          <w:sz w:val="28"/>
          <w:szCs w:val="28"/>
        </w:rPr>
      </w:pPr>
      <w:r>
        <w:rPr>
          <w:rFonts w:hint="eastAsia"/>
          <w:sz w:val="28"/>
          <w:szCs w:val="28"/>
        </w:rPr>
        <w:t>做好施工前图纸交底并答复施工单位对设计问题提出的各种问题和解决方案；</w:t>
      </w:r>
    </w:p>
    <w:p>
      <w:pPr>
        <w:numPr>
          <w:ilvl w:val="0"/>
          <w:numId w:val="4"/>
        </w:numPr>
        <w:snapToGrid w:val="0"/>
        <w:spacing w:line="520" w:lineRule="atLeast"/>
        <w:ind w:left="560"/>
        <w:rPr>
          <w:sz w:val="28"/>
          <w:szCs w:val="28"/>
        </w:rPr>
      </w:pPr>
      <w:r>
        <w:rPr>
          <w:rFonts w:hint="eastAsia"/>
          <w:sz w:val="28"/>
          <w:szCs w:val="28"/>
        </w:rPr>
        <w:t>做好项目实施期间的设计服务工作，设计人员必须随叫随到，解决施工中遇到的具体设计问题；参加项目竣工验收；并对项目是否达到设计要求、规范标准给予评价。</w:t>
      </w:r>
    </w:p>
    <w:p>
      <w:pPr>
        <w:numPr>
          <w:ilvl w:val="0"/>
          <w:numId w:val="5"/>
        </w:numPr>
        <w:snapToGrid w:val="0"/>
        <w:spacing w:line="520" w:lineRule="atLeast"/>
        <w:rPr>
          <w:sz w:val="28"/>
          <w:szCs w:val="28"/>
        </w:rPr>
      </w:pPr>
      <w:r>
        <w:rPr>
          <w:rFonts w:hint="eastAsia"/>
          <w:sz w:val="28"/>
          <w:szCs w:val="28"/>
        </w:rPr>
        <w:t>设计单位提交的设计成果必须符合国家现行的法律、法规、规范、标准和相关规定。同时负责通过有资质的相关部门对设计图纸的审核（如需要）。</w:t>
      </w:r>
    </w:p>
    <w:p>
      <w:pPr>
        <w:numPr>
          <w:ilvl w:val="0"/>
          <w:numId w:val="5"/>
        </w:numPr>
        <w:snapToGrid w:val="0"/>
        <w:spacing w:line="520" w:lineRule="atLeast"/>
        <w:rPr>
          <w:sz w:val="28"/>
          <w:szCs w:val="28"/>
        </w:rPr>
      </w:pPr>
      <w:r>
        <w:rPr>
          <w:rFonts w:hint="eastAsia"/>
          <w:sz w:val="28"/>
          <w:szCs w:val="28"/>
        </w:rPr>
        <w:t>设计文件的深度必须符合国家《建筑工程设计文件编制深度规定》，要能够仅根据设计文件就能完成工程项目的施工。</w:t>
      </w:r>
    </w:p>
    <w:p>
      <w:pPr>
        <w:numPr>
          <w:ilvl w:val="0"/>
          <w:numId w:val="5"/>
        </w:numPr>
        <w:snapToGrid w:val="0"/>
        <w:spacing w:line="520" w:lineRule="atLeast"/>
        <w:rPr>
          <w:sz w:val="28"/>
          <w:szCs w:val="28"/>
        </w:rPr>
      </w:pPr>
      <w:r>
        <w:rPr>
          <w:rFonts w:hint="eastAsia"/>
          <w:sz w:val="28"/>
          <w:szCs w:val="28"/>
        </w:rPr>
        <w:t>设计文件的绘制要符合建筑制图标准（GB/T50104-2001）。</w:t>
      </w:r>
    </w:p>
    <w:p>
      <w:pPr>
        <w:numPr>
          <w:ilvl w:val="0"/>
          <w:numId w:val="5"/>
        </w:numPr>
        <w:snapToGrid w:val="0"/>
        <w:spacing w:line="520" w:lineRule="atLeast"/>
        <w:rPr>
          <w:sz w:val="28"/>
          <w:szCs w:val="28"/>
        </w:rPr>
      </w:pPr>
      <w:r>
        <w:rPr>
          <w:rFonts w:hint="eastAsia"/>
          <w:sz w:val="28"/>
          <w:szCs w:val="28"/>
        </w:rPr>
        <w:t>投标的设计单位必须要有固定的设计工作室，配备专职技术人员，要有二级及以上的注册建筑工程师和结构工程师。</w:t>
      </w:r>
    </w:p>
    <w:p>
      <w:pPr>
        <w:numPr>
          <w:ilvl w:val="0"/>
          <w:numId w:val="2"/>
        </w:numPr>
        <w:rPr>
          <w:rFonts w:hint="eastAsia" w:ascii="宋体" w:hAnsi="宋体" w:cs="宋体"/>
          <w:bCs/>
          <w:sz w:val="28"/>
          <w:szCs w:val="28"/>
        </w:rPr>
      </w:pPr>
      <w:r>
        <w:rPr>
          <w:rFonts w:hint="eastAsia" w:ascii="宋体" w:hAnsi="宋体" w:cs="宋体"/>
          <w:bCs/>
          <w:sz w:val="28"/>
          <w:szCs w:val="28"/>
        </w:rPr>
        <w:t>项目预算：</w:t>
      </w:r>
    </w:p>
    <w:p>
      <w:pPr>
        <w:ind w:firstLine="560" w:firstLineChars="200"/>
        <w:rPr>
          <w:rFonts w:hint="eastAsia" w:ascii="宋体" w:hAnsi="宋体" w:cs="宋体"/>
          <w:bCs/>
          <w:sz w:val="28"/>
          <w:szCs w:val="28"/>
        </w:rPr>
      </w:pPr>
      <w:r>
        <w:rPr>
          <w:rFonts w:hint="eastAsia" w:ascii="宋体" w:hAnsi="宋体" w:cs="宋体"/>
          <w:bCs/>
          <w:sz w:val="28"/>
          <w:szCs w:val="28"/>
        </w:rPr>
        <w:t>95元/平方米【工程设计（含加固设计）】，以实际工程设计面积为依据，按照中标单价结算。</w:t>
      </w:r>
    </w:p>
    <w:p>
      <w:pPr>
        <w:jc w:val="left"/>
        <w:rPr>
          <w:rFonts w:hint="eastAsia" w:ascii="宋体" w:hAnsi="宋体"/>
          <w:b/>
          <w:bCs/>
          <w:sz w:val="28"/>
          <w:szCs w:val="28"/>
        </w:rPr>
      </w:pPr>
    </w:p>
    <w:p>
      <w:pPr>
        <w:jc w:val="center"/>
        <w:rPr>
          <w:rFonts w:hint="eastAsia"/>
          <w:b/>
          <w:bCs/>
          <w:sz w:val="40"/>
          <w:szCs w:val="40"/>
        </w:rPr>
      </w:pPr>
      <w:r>
        <w:rPr>
          <w:rFonts w:hint="eastAsia"/>
          <w:b/>
          <w:bCs/>
          <w:sz w:val="40"/>
          <w:szCs w:val="40"/>
        </w:rPr>
        <w:br w:type="page"/>
      </w:r>
      <w:r>
        <w:rPr>
          <w:rFonts w:hint="eastAsia"/>
          <w:b/>
          <w:bCs/>
          <w:sz w:val="40"/>
          <w:szCs w:val="40"/>
        </w:rPr>
        <w:t>蚌埠三院工程设计外包服务质量考核表</w:t>
      </w:r>
    </w:p>
    <w:p>
      <w:pPr>
        <w:jc w:val="left"/>
        <w:rPr>
          <w:b/>
          <w:bCs/>
          <w:sz w:val="28"/>
          <w:szCs w:val="28"/>
          <w:u w:val="single"/>
        </w:rPr>
      </w:pPr>
      <w:r>
        <w:rPr>
          <w:rFonts w:hint="eastAsia"/>
          <w:b/>
          <w:bCs/>
          <w:sz w:val="28"/>
          <w:szCs w:val="28"/>
        </w:rPr>
        <w:t>公司名称：</w:t>
      </w:r>
      <w:r>
        <w:rPr>
          <w:rFonts w:hint="eastAsia"/>
          <w:b/>
          <w:bCs/>
          <w:sz w:val="28"/>
          <w:szCs w:val="28"/>
          <w:u w:val="single"/>
        </w:rPr>
        <w:t xml:space="preserve">                 </w:t>
      </w:r>
      <w:r>
        <w:rPr>
          <w:rFonts w:hint="eastAsia"/>
          <w:b/>
          <w:bCs/>
          <w:sz w:val="28"/>
          <w:szCs w:val="28"/>
        </w:rPr>
        <w:t xml:space="preserve">          日期：</w:t>
      </w:r>
      <w:r>
        <w:rPr>
          <w:rFonts w:hint="eastAsia"/>
          <w:b/>
          <w:bCs/>
          <w:sz w:val="28"/>
          <w:szCs w:val="28"/>
          <w:u w:val="single"/>
        </w:rPr>
        <w:t xml:space="preserve">                      </w:t>
      </w:r>
    </w:p>
    <w:tbl>
      <w:tblPr>
        <w:tblStyle w:val="16"/>
        <w:tblW w:w="10116" w:type="dxa"/>
        <w:tblInd w:w="-6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720"/>
        <w:gridCol w:w="3852"/>
        <w:gridCol w:w="828"/>
        <w:gridCol w:w="2964"/>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852" w:type="dxa"/>
            <w:vMerge w:val="restart"/>
            <w:noWrap w:val="0"/>
            <w:vAlign w:val="center"/>
          </w:tcPr>
          <w:p>
            <w:pPr>
              <w:pStyle w:val="13"/>
              <w:widowControl/>
              <w:jc w:val="center"/>
              <w:rPr>
                <w:rFonts w:hint="eastAsia"/>
                <w:kern w:val="2"/>
                <w:sz w:val="22"/>
                <w:szCs w:val="22"/>
              </w:rPr>
            </w:pPr>
            <w:r>
              <w:rPr>
                <w:rFonts w:hint="eastAsia"/>
                <w:kern w:val="2"/>
                <w:sz w:val="22"/>
                <w:szCs w:val="22"/>
              </w:rPr>
              <w:t>服</w:t>
            </w:r>
          </w:p>
          <w:p>
            <w:pPr>
              <w:pStyle w:val="13"/>
              <w:widowControl/>
              <w:jc w:val="center"/>
              <w:rPr>
                <w:rFonts w:hint="eastAsia"/>
                <w:kern w:val="2"/>
                <w:sz w:val="22"/>
                <w:szCs w:val="22"/>
              </w:rPr>
            </w:pPr>
            <w:r>
              <w:rPr>
                <w:rFonts w:hint="eastAsia"/>
                <w:kern w:val="2"/>
                <w:sz w:val="22"/>
                <w:szCs w:val="22"/>
              </w:rPr>
              <w:t>务</w:t>
            </w:r>
          </w:p>
          <w:p>
            <w:pPr>
              <w:pStyle w:val="13"/>
              <w:widowControl/>
              <w:jc w:val="center"/>
              <w:rPr>
                <w:rFonts w:hint="eastAsia"/>
                <w:kern w:val="2"/>
                <w:sz w:val="22"/>
                <w:szCs w:val="22"/>
              </w:rPr>
            </w:pPr>
            <w:r>
              <w:rPr>
                <w:rFonts w:hint="eastAsia"/>
                <w:kern w:val="2"/>
                <w:sz w:val="22"/>
                <w:szCs w:val="22"/>
              </w:rPr>
              <w:t>态</w:t>
            </w:r>
          </w:p>
          <w:p>
            <w:pPr>
              <w:pStyle w:val="13"/>
              <w:widowControl/>
              <w:jc w:val="center"/>
              <w:rPr>
                <w:rFonts w:hint="eastAsia"/>
                <w:kern w:val="2"/>
                <w:sz w:val="22"/>
                <w:szCs w:val="22"/>
              </w:rPr>
            </w:pPr>
            <w:r>
              <w:rPr>
                <w:rFonts w:hint="eastAsia"/>
                <w:kern w:val="2"/>
                <w:sz w:val="22"/>
                <w:szCs w:val="22"/>
              </w:rPr>
              <w:t>度</w:t>
            </w:r>
          </w:p>
          <w:p>
            <w:pPr>
              <w:pStyle w:val="13"/>
              <w:widowControl/>
              <w:jc w:val="center"/>
              <w:rPr>
                <w:sz w:val="22"/>
                <w:szCs w:val="22"/>
              </w:rPr>
            </w:pPr>
            <w:r>
              <w:rPr>
                <w:rFonts w:hint="eastAsia"/>
                <w:kern w:val="2"/>
                <w:sz w:val="22"/>
                <w:szCs w:val="22"/>
              </w:rPr>
              <w:t>20分</w:t>
            </w:r>
          </w:p>
        </w:tc>
        <w:tc>
          <w:tcPr>
            <w:tcW w:w="720" w:type="dxa"/>
            <w:noWrap w:val="0"/>
            <w:vAlign w:val="center"/>
          </w:tcPr>
          <w:p>
            <w:pPr>
              <w:jc w:val="center"/>
              <w:rPr>
                <w:sz w:val="22"/>
                <w:szCs w:val="22"/>
              </w:rPr>
            </w:pPr>
            <w:r>
              <w:rPr>
                <w:rFonts w:hint="eastAsia"/>
                <w:sz w:val="22"/>
                <w:szCs w:val="22"/>
              </w:rPr>
              <w:t>分值</w:t>
            </w:r>
          </w:p>
        </w:tc>
        <w:tc>
          <w:tcPr>
            <w:tcW w:w="3852" w:type="dxa"/>
            <w:noWrap w:val="0"/>
            <w:vAlign w:val="center"/>
          </w:tcPr>
          <w:p>
            <w:pPr>
              <w:jc w:val="center"/>
              <w:rPr>
                <w:b/>
                <w:bCs/>
                <w:sz w:val="22"/>
                <w:szCs w:val="22"/>
                <w:u w:val="single"/>
              </w:rPr>
            </w:pPr>
            <w:r>
              <w:rPr>
                <w:rFonts w:hint="eastAsia"/>
                <w:sz w:val="22"/>
                <w:szCs w:val="22"/>
              </w:rPr>
              <w:t>考核内容</w:t>
            </w:r>
          </w:p>
        </w:tc>
        <w:tc>
          <w:tcPr>
            <w:tcW w:w="828" w:type="dxa"/>
            <w:noWrap w:val="0"/>
            <w:vAlign w:val="center"/>
          </w:tcPr>
          <w:p>
            <w:pPr>
              <w:jc w:val="center"/>
              <w:rPr>
                <w:sz w:val="22"/>
                <w:szCs w:val="22"/>
              </w:rPr>
            </w:pPr>
            <w:r>
              <w:rPr>
                <w:rFonts w:hint="eastAsia"/>
                <w:sz w:val="22"/>
                <w:szCs w:val="22"/>
              </w:rPr>
              <w:t>目标</w:t>
            </w:r>
          </w:p>
        </w:tc>
        <w:tc>
          <w:tcPr>
            <w:tcW w:w="2964" w:type="dxa"/>
            <w:noWrap w:val="0"/>
            <w:vAlign w:val="center"/>
          </w:tcPr>
          <w:p>
            <w:pPr>
              <w:jc w:val="center"/>
              <w:rPr>
                <w:sz w:val="22"/>
                <w:szCs w:val="22"/>
              </w:rPr>
            </w:pPr>
            <w:r>
              <w:rPr>
                <w:rFonts w:hint="eastAsia"/>
                <w:sz w:val="22"/>
                <w:szCs w:val="22"/>
              </w:rPr>
              <w:t>考核标准</w:t>
            </w:r>
          </w:p>
        </w:tc>
        <w:tc>
          <w:tcPr>
            <w:tcW w:w="900" w:type="dxa"/>
            <w:noWrap w:val="0"/>
            <w:vAlign w:val="center"/>
          </w:tcPr>
          <w:p>
            <w:pPr>
              <w:jc w:val="center"/>
              <w:rPr>
                <w:rFonts w:hint="eastAsia"/>
                <w:sz w:val="22"/>
                <w:szCs w:val="22"/>
              </w:rPr>
            </w:pPr>
            <w:r>
              <w:rPr>
                <w:rFonts w:hint="eastAsia"/>
                <w:sz w:val="22"/>
                <w:szCs w:val="22"/>
              </w:rPr>
              <w:t>考核</w:t>
            </w:r>
          </w:p>
          <w:p>
            <w:pPr>
              <w:jc w:val="center"/>
              <w:rPr>
                <w:sz w:val="22"/>
                <w:szCs w:val="22"/>
              </w:rPr>
            </w:pPr>
            <w:r>
              <w:rPr>
                <w:rFonts w:hint="eastAsia"/>
                <w:sz w:val="22"/>
                <w:szCs w:val="22"/>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 w:type="dxa"/>
            <w:vMerge w:val="continue"/>
            <w:noWrap w:val="0"/>
            <w:vAlign w:val="center"/>
          </w:tcPr>
          <w:p>
            <w:pPr>
              <w:jc w:val="center"/>
              <w:rPr>
                <w:rFonts w:hint="eastAsia"/>
                <w:sz w:val="22"/>
                <w:szCs w:val="22"/>
              </w:rPr>
            </w:pPr>
          </w:p>
        </w:tc>
        <w:tc>
          <w:tcPr>
            <w:tcW w:w="720" w:type="dxa"/>
            <w:noWrap w:val="0"/>
            <w:vAlign w:val="center"/>
          </w:tcPr>
          <w:p>
            <w:pPr>
              <w:jc w:val="center"/>
              <w:rPr>
                <w:sz w:val="22"/>
                <w:szCs w:val="22"/>
              </w:rPr>
            </w:pPr>
            <w:r>
              <w:rPr>
                <w:rFonts w:hint="eastAsia"/>
                <w:sz w:val="22"/>
                <w:szCs w:val="22"/>
              </w:rPr>
              <w:t>5</w:t>
            </w:r>
          </w:p>
        </w:tc>
        <w:tc>
          <w:tcPr>
            <w:tcW w:w="3852" w:type="dxa"/>
            <w:noWrap w:val="0"/>
            <w:vAlign w:val="center"/>
          </w:tcPr>
          <w:p>
            <w:pPr>
              <w:rPr>
                <w:rFonts w:hint="eastAsia"/>
                <w:sz w:val="22"/>
                <w:szCs w:val="22"/>
              </w:rPr>
            </w:pPr>
            <w:r>
              <w:rPr>
                <w:rFonts w:hint="eastAsia"/>
                <w:sz w:val="22"/>
                <w:szCs w:val="22"/>
              </w:rPr>
              <w:t>乙方须指定专门负责人，设定专用联系电话与采购人保持联系，联系电话应保持24小时开通状态。</w:t>
            </w:r>
          </w:p>
        </w:tc>
        <w:tc>
          <w:tcPr>
            <w:tcW w:w="828" w:type="dxa"/>
            <w:noWrap w:val="0"/>
            <w:vAlign w:val="center"/>
          </w:tcPr>
          <w:p>
            <w:pPr>
              <w:jc w:val="center"/>
              <w:rPr>
                <w:rFonts w:hint="eastAsia"/>
                <w:sz w:val="22"/>
                <w:szCs w:val="22"/>
              </w:rPr>
            </w:pPr>
            <w:r>
              <w:rPr>
                <w:rFonts w:hint="eastAsia"/>
                <w:sz w:val="22"/>
                <w:szCs w:val="22"/>
              </w:rPr>
              <w:t>符合要求</w:t>
            </w:r>
          </w:p>
        </w:tc>
        <w:tc>
          <w:tcPr>
            <w:tcW w:w="2964" w:type="dxa"/>
            <w:noWrap w:val="0"/>
            <w:vAlign w:val="center"/>
          </w:tcPr>
          <w:p>
            <w:pPr>
              <w:rPr>
                <w:rFonts w:hint="eastAsia"/>
                <w:sz w:val="22"/>
                <w:szCs w:val="22"/>
              </w:rPr>
            </w:pPr>
            <w:r>
              <w:rPr>
                <w:rFonts w:hint="eastAsia"/>
                <w:sz w:val="22"/>
                <w:szCs w:val="22"/>
              </w:rPr>
              <w:t>1分为不合格，2-3为合格，</w:t>
            </w:r>
          </w:p>
          <w:p>
            <w:pPr>
              <w:rPr>
                <w:rFonts w:hint="eastAsia"/>
                <w:sz w:val="22"/>
                <w:szCs w:val="22"/>
              </w:rPr>
            </w:pPr>
            <w:r>
              <w:rPr>
                <w:rFonts w:hint="eastAsia"/>
                <w:sz w:val="22"/>
                <w:szCs w:val="22"/>
              </w:rPr>
              <w:t>4分为良好，5分为优秀</w:t>
            </w:r>
          </w:p>
        </w:tc>
        <w:tc>
          <w:tcPr>
            <w:tcW w:w="900" w:type="dxa"/>
            <w:noWrap w:val="0"/>
            <w:vAlign w:val="center"/>
          </w:tcPr>
          <w:p>
            <w:pPr>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852" w:type="dxa"/>
            <w:vMerge w:val="continue"/>
            <w:noWrap w:val="0"/>
            <w:vAlign w:val="center"/>
          </w:tcPr>
          <w:p>
            <w:pPr>
              <w:jc w:val="center"/>
              <w:rPr>
                <w:sz w:val="22"/>
                <w:szCs w:val="22"/>
              </w:rPr>
            </w:pPr>
          </w:p>
        </w:tc>
        <w:tc>
          <w:tcPr>
            <w:tcW w:w="720" w:type="dxa"/>
            <w:noWrap w:val="0"/>
            <w:vAlign w:val="center"/>
          </w:tcPr>
          <w:p>
            <w:pPr>
              <w:jc w:val="center"/>
              <w:rPr>
                <w:sz w:val="22"/>
                <w:szCs w:val="22"/>
              </w:rPr>
            </w:pPr>
            <w:r>
              <w:rPr>
                <w:rFonts w:hint="eastAsia"/>
                <w:sz w:val="22"/>
                <w:szCs w:val="22"/>
              </w:rPr>
              <w:t>5</w:t>
            </w:r>
          </w:p>
        </w:tc>
        <w:tc>
          <w:tcPr>
            <w:tcW w:w="3852" w:type="dxa"/>
            <w:noWrap w:val="0"/>
            <w:vAlign w:val="center"/>
          </w:tcPr>
          <w:p>
            <w:pPr>
              <w:rPr>
                <w:rFonts w:hint="eastAsia"/>
                <w:sz w:val="22"/>
                <w:szCs w:val="22"/>
              </w:rPr>
            </w:pPr>
            <w:r>
              <w:rPr>
                <w:rFonts w:hint="eastAsia"/>
                <w:sz w:val="22"/>
                <w:szCs w:val="22"/>
              </w:rPr>
              <w:t>甲方提出工程设计需求时，乙方能够按合同约定时间及时响应。</w:t>
            </w:r>
          </w:p>
        </w:tc>
        <w:tc>
          <w:tcPr>
            <w:tcW w:w="828" w:type="dxa"/>
            <w:noWrap w:val="0"/>
            <w:vAlign w:val="center"/>
          </w:tcPr>
          <w:p>
            <w:pPr>
              <w:jc w:val="center"/>
              <w:rPr>
                <w:rFonts w:hint="eastAsia"/>
                <w:sz w:val="22"/>
                <w:szCs w:val="22"/>
              </w:rPr>
            </w:pPr>
            <w:r>
              <w:rPr>
                <w:rFonts w:hint="eastAsia"/>
                <w:sz w:val="22"/>
                <w:szCs w:val="22"/>
              </w:rPr>
              <w:t>符合要求</w:t>
            </w:r>
          </w:p>
        </w:tc>
        <w:tc>
          <w:tcPr>
            <w:tcW w:w="2964" w:type="dxa"/>
            <w:noWrap w:val="0"/>
            <w:vAlign w:val="center"/>
          </w:tcPr>
          <w:p>
            <w:pPr>
              <w:rPr>
                <w:rFonts w:hint="eastAsia"/>
                <w:sz w:val="22"/>
                <w:szCs w:val="22"/>
              </w:rPr>
            </w:pPr>
            <w:r>
              <w:rPr>
                <w:rFonts w:hint="eastAsia"/>
                <w:sz w:val="22"/>
                <w:szCs w:val="22"/>
              </w:rPr>
              <w:t>1分为不合格，2-3为合格，</w:t>
            </w:r>
          </w:p>
          <w:p>
            <w:pPr>
              <w:rPr>
                <w:rFonts w:hint="eastAsia"/>
                <w:sz w:val="22"/>
                <w:szCs w:val="22"/>
              </w:rPr>
            </w:pPr>
            <w:r>
              <w:rPr>
                <w:rFonts w:hint="eastAsia"/>
                <w:sz w:val="22"/>
                <w:szCs w:val="22"/>
              </w:rPr>
              <w:t>4分为良好，5分为优秀</w:t>
            </w:r>
          </w:p>
        </w:tc>
        <w:tc>
          <w:tcPr>
            <w:tcW w:w="900" w:type="dxa"/>
            <w:noWrap w:val="0"/>
            <w:vAlign w:val="center"/>
          </w:tcPr>
          <w:p>
            <w:pPr>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trPr>
        <w:tc>
          <w:tcPr>
            <w:tcW w:w="852" w:type="dxa"/>
            <w:vMerge w:val="continue"/>
            <w:noWrap w:val="0"/>
            <w:vAlign w:val="center"/>
          </w:tcPr>
          <w:p>
            <w:pPr>
              <w:jc w:val="center"/>
              <w:rPr>
                <w:rFonts w:hint="eastAsia"/>
                <w:sz w:val="22"/>
                <w:szCs w:val="22"/>
              </w:rPr>
            </w:pPr>
          </w:p>
        </w:tc>
        <w:tc>
          <w:tcPr>
            <w:tcW w:w="720" w:type="dxa"/>
            <w:noWrap w:val="0"/>
            <w:vAlign w:val="center"/>
          </w:tcPr>
          <w:p>
            <w:pPr>
              <w:jc w:val="center"/>
              <w:rPr>
                <w:sz w:val="22"/>
                <w:szCs w:val="22"/>
              </w:rPr>
            </w:pPr>
            <w:r>
              <w:rPr>
                <w:rFonts w:hint="eastAsia"/>
                <w:sz w:val="22"/>
                <w:szCs w:val="22"/>
              </w:rPr>
              <w:t>5</w:t>
            </w:r>
          </w:p>
        </w:tc>
        <w:tc>
          <w:tcPr>
            <w:tcW w:w="3852" w:type="dxa"/>
            <w:noWrap w:val="0"/>
            <w:vAlign w:val="center"/>
          </w:tcPr>
          <w:p>
            <w:pPr>
              <w:rPr>
                <w:rFonts w:hint="eastAsia"/>
                <w:sz w:val="22"/>
                <w:szCs w:val="22"/>
              </w:rPr>
            </w:pPr>
            <w:r>
              <w:rPr>
                <w:rFonts w:hint="eastAsia"/>
                <w:sz w:val="22"/>
                <w:szCs w:val="22"/>
              </w:rPr>
              <w:t>乙方工程设计人员到达现场后，能较好与临床科室人员沟通，更好的完善工程设计编制，减少设计漏项的情况发生。</w:t>
            </w:r>
          </w:p>
        </w:tc>
        <w:tc>
          <w:tcPr>
            <w:tcW w:w="828" w:type="dxa"/>
            <w:noWrap w:val="0"/>
            <w:vAlign w:val="center"/>
          </w:tcPr>
          <w:p>
            <w:pPr>
              <w:jc w:val="center"/>
              <w:rPr>
                <w:rFonts w:hint="eastAsia"/>
                <w:sz w:val="22"/>
                <w:szCs w:val="22"/>
              </w:rPr>
            </w:pPr>
            <w:r>
              <w:rPr>
                <w:rFonts w:hint="eastAsia"/>
                <w:sz w:val="22"/>
                <w:szCs w:val="22"/>
              </w:rPr>
              <w:t>符合要求</w:t>
            </w:r>
          </w:p>
        </w:tc>
        <w:tc>
          <w:tcPr>
            <w:tcW w:w="2964" w:type="dxa"/>
            <w:noWrap w:val="0"/>
            <w:vAlign w:val="center"/>
          </w:tcPr>
          <w:p>
            <w:pPr>
              <w:rPr>
                <w:rFonts w:hint="eastAsia"/>
                <w:sz w:val="22"/>
                <w:szCs w:val="22"/>
              </w:rPr>
            </w:pPr>
            <w:r>
              <w:rPr>
                <w:rFonts w:hint="eastAsia"/>
                <w:sz w:val="22"/>
                <w:szCs w:val="22"/>
              </w:rPr>
              <w:t>1分为不合格，2-3为合格，</w:t>
            </w:r>
          </w:p>
          <w:p>
            <w:pPr>
              <w:rPr>
                <w:rFonts w:hint="eastAsia"/>
                <w:sz w:val="22"/>
                <w:szCs w:val="22"/>
              </w:rPr>
            </w:pPr>
            <w:r>
              <w:rPr>
                <w:rFonts w:hint="eastAsia"/>
                <w:sz w:val="22"/>
                <w:szCs w:val="22"/>
              </w:rPr>
              <w:t>4分为良好，5分为优秀</w:t>
            </w:r>
          </w:p>
        </w:tc>
        <w:tc>
          <w:tcPr>
            <w:tcW w:w="900" w:type="dxa"/>
            <w:noWrap w:val="0"/>
            <w:vAlign w:val="center"/>
          </w:tcPr>
          <w:p>
            <w:pPr>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852" w:type="dxa"/>
            <w:vMerge w:val="continue"/>
            <w:noWrap w:val="0"/>
            <w:vAlign w:val="center"/>
          </w:tcPr>
          <w:p>
            <w:pPr>
              <w:jc w:val="center"/>
              <w:rPr>
                <w:rFonts w:hint="eastAsia"/>
                <w:sz w:val="22"/>
                <w:szCs w:val="22"/>
              </w:rPr>
            </w:pPr>
          </w:p>
        </w:tc>
        <w:tc>
          <w:tcPr>
            <w:tcW w:w="720" w:type="dxa"/>
            <w:noWrap w:val="0"/>
            <w:vAlign w:val="center"/>
          </w:tcPr>
          <w:p>
            <w:pPr>
              <w:jc w:val="center"/>
              <w:rPr>
                <w:sz w:val="22"/>
                <w:szCs w:val="22"/>
              </w:rPr>
            </w:pPr>
            <w:r>
              <w:rPr>
                <w:rFonts w:hint="eastAsia"/>
                <w:sz w:val="22"/>
                <w:szCs w:val="22"/>
              </w:rPr>
              <w:t>5</w:t>
            </w:r>
          </w:p>
        </w:tc>
        <w:tc>
          <w:tcPr>
            <w:tcW w:w="3852" w:type="dxa"/>
            <w:noWrap w:val="0"/>
            <w:vAlign w:val="center"/>
          </w:tcPr>
          <w:p>
            <w:pPr>
              <w:rPr>
                <w:rFonts w:hint="eastAsia"/>
                <w:sz w:val="22"/>
                <w:szCs w:val="22"/>
              </w:rPr>
            </w:pPr>
            <w:r>
              <w:rPr>
                <w:rFonts w:hint="eastAsia"/>
                <w:sz w:val="22"/>
                <w:szCs w:val="22"/>
              </w:rPr>
              <w:t>乙方完成工程设计后及时与甲方负责人联系沟通，对甲方负责人提出的疑惑质询进行回答。</w:t>
            </w:r>
          </w:p>
        </w:tc>
        <w:tc>
          <w:tcPr>
            <w:tcW w:w="828" w:type="dxa"/>
            <w:noWrap w:val="0"/>
            <w:vAlign w:val="center"/>
          </w:tcPr>
          <w:p>
            <w:pPr>
              <w:jc w:val="center"/>
              <w:rPr>
                <w:rFonts w:hint="eastAsia"/>
                <w:sz w:val="22"/>
                <w:szCs w:val="22"/>
              </w:rPr>
            </w:pPr>
            <w:r>
              <w:rPr>
                <w:rFonts w:hint="eastAsia"/>
                <w:sz w:val="22"/>
                <w:szCs w:val="22"/>
              </w:rPr>
              <w:t>符合要求</w:t>
            </w:r>
          </w:p>
        </w:tc>
        <w:tc>
          <w:tcPr>
            <w:tcW w:w="2964" w:type="dxa"/>
            <w:noWrap w:val="0"/>
            <w:vAlign w:val="center"/>
          </w:tcPr>
          <w:p>
            <w:pPr>
              <w:rPr>
                <w:rFonts w:hint="eastAsia"/>
                <w:sz w:val="22"/>
                <w:szCs w:val="22"/>
              </w:rPr>
            </w:pPr>
            <w:r>
              <w:rPr>
                <w:rFonts w:hint="eastAsia"/>
                <w:sz w:val="22"/>
                <w:szCs w:val="22"/>
              </w:rPr>
              <w:t>1分为不合格，2-3为合格，</w:t>
            </w:r>
          </w:p>
          <w:p>
            <w:pPr>
              <w:rPr>
                <w:rFonts w:hint="eastAsia"/>
                <w:sz w:val="22"/>
                <w:szCs w:val="22"/>
              </w:rPr>
            </w:pPr>
            <w:r>
              <w:rPr>
                <w:rFonts w:hint="eastAsia"/>
                <w:sz w:val="22"/>
                <w:szCs w:val="22"/>
              </w:rPr>
              <w:t>4分为良好，5分为优秀</w:t>
            </w:r>
          </w:p>
        </w:tc>
        <w:tc>
          <w:tcPr>
            <w:tcW w:w="900" w:type="dxa"/>
            <w:noWrap w:val="0"/>
            <w:vAlign w:val="center"/>
          </w:tcPr>
          <w:p>
            <w:pPr>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852" w:type="dxa"/>
            <w:vMerge w:val="restart"/>
            <w:noWrap w:val="0"/>
            <w:vAlign w:val="center"/>
          </w:tcPr>
          <w:p>
            <w:pPr>
              <w:pStyle w:val="13"/>
              <w:widowControl/>
              <w:jc w:val="center"/>
              <w:rPr>
                <w:rFonts w:hint="eastAsia"/>
                <w:kern w:val="2"/>
                <w:sz w:val="22"/>
                <w:szCs w:val="22"/>
              </w:rPr>
            </w:pPr>
            <w:r>
              <w:rPr>
                <w:rFonts w:hint="eastAsia"/>
                <w:kern w:val="2"/>
                <w:sz w:val="22"/>
                <w:szCs w:val="22"/>
              </w:rPr>
              <w:t>服</w:t>
            </w:r>
          </w:p>
          <w:p>
            <w:pPr>
              <w:pStyle w:val="13"/>
              <w:widowControl/>
              <w:jc w:val="center"/>
              <w:rPr>
                <w:rFonts w:hint="eastAsia"/>
                <w:kern w:val="2"/>
                <w:sz w:val="22"/>
                <w:szCs w:val="22"/>
              </w:rPr>
            </w:pPr>
            <w:r>
              <w:rPr>
                <w:rFonts w:hint="eastAsia"/>
                <w:kern w:val="2"/>
                <w:sz w:val="22"/>
                <w:szCs w:val="22"/>
              </w:rPr>
              <w:t>务</w:t>
            </w:r>
          </w:p>
          <w:p>
            <w:pPr>
              <w:pStyle w:val="13"/>
              <w:widowControl/>
              <w:jc w:val="center"/>
              <w:rPr>
                <w:rFonts w:hint="eastAsia"/>
                <w:kern w:val="2"/>
                <w:sz w:val="22"/>
                <w:szCs w:val="22"/>
              </w:rPr>
            </w:pPr>
            <w:r>
              <w:rPr>
                <w:rFonts w:hint="eastAsia"/>
                <w:kern w:val="2"/>
                <w:sz w:val="22"/>
                <w:szCs w:val="22"/>
              </w:rPr>
              <w:t>质</w:t>
            </w:r>
          </w:p>
          <w:p>
            <w:pPr>
              <w:ind w:firstLine="220" w:firstLineChars="100"/>
              <w:rPr>
                <w:rFonts w:hint="eastAsia"/>
                <w:sz w:val="22"/>
                <w:szCs w:val="22"/>
              </w:rPr>
            </w:pPr>
            <w:r>
              <w:rPr>
                <w:rFonts w:hint="eastAsia"/>
                <w:sz w:val="22"/>
                <w:szCs w:val="22"/>
              </w:rPr>
              <w:t>量</w:t>
            </w:r>
          </w:p>
          <w:p>
            <w:pPr>
              <w:ind w:firstLine="220" w:firstLineChars="100"/>
              <w:jc w:val="center"/>
              <w:rPr>
                <w:rFonts w:hint="eastAsia"/>
                <w:sz w:val="22"/>
                <w:szCs w:val="22"/>
              </w:rPr>
            </w:pPr>
          </w:p>
          <w:p>
            <w:pPr>
              <w:jc w:val="center"/>
              <w:rPr>
                <w:rFonts w:hint="eastAsia"/>
                <w:sz w:val="22"/>
                <w:szCs w:val="22"/>
              </w:rPr>
            </w:pPr>
            <w:r>
              <w:rPr>
                <w:rFonts w:hint="eastAsia"/>
                <w:sz w:val="22"/>
                <w:szCs w:val="22"/>
              </w:rPr>
              <w:t>60分</w:t>
            </w:r>
          </w:p>
        </w:tc>
        <w:tc>
          <w:tcPr>
            <w:tcW w:w="720" w:type="dxa"/>
            <w:noWrap w:val="0"/>
            <w:vAlign w:val="center"/>
          </w:tcPr>
          <w:p>
            <w:pPr>
              <w:jc w:val="center"/>
              <w:rPr>
                <w:sz w:val="22"/>
                <w:szCs w:val="22"/>
              </w:rPr>
            </w:pPr>
            <w:r>
              <w:rPr>
                <w:rFonts w:hint="eastAsia"/>
                <w:sz w:val="22"/>
                <w:szCs w:val="22"/>
              </w:rPr>
              <w:t>15</w:t>
            </w:r>
          </w:p>
        </w:tc>
        <w:tc>
          <w:tcPr>
            <w:tcW w:w="3852" w:type="dxa"/>
            <w:noWrap w:val="0"/>
            <w:vAlign w:val="center"/>
          </w:tcPr>
          <w:p>
            <w:pPr>
              <w:rPr>
                <w:sz w:val="22"/>
                <w:szCs w:val="22"/>
              </w:rPr>
            </w:pPr>
            <w:r>
              <w:rPr>
                <w:rFonts w:hint="eastAsia"/>
                <w:sz w:val="22"/>
                <w:szCs w:val="22"/>
              </w:rPr>
              <w:t>乙方需根据工程资料和国家级行业的有关规定，对招标工程进行工程设计。</w:t>
            </w:r>
          </w:p>
        </w:tc>
        <w:tc>
          <w:tcPr>
            <w:tcW w:w="828" w:type="dxa"/>
            <w:noWrap w:val="0"/>
            <w:vAlign w:val="center"/>
          </w:tcPr>
          <w:p>
            <w:pPr>
              <w:jc w:val="center"/>
              <w:rPr>
                <w:sz w:val="22"/>
                <w:szCs w:val="22"/>
              </w:rPr>
            </w:pPr>
            <w:r>
              <w:rPr>
                <w:rFonts w:hint="eastAsia"/>
                <w:sz w:val="22"/>
                <w:szCs w:val="22"/>
              </w:rPr>
              <w:t>符合要求</w:t>
            </w:r>
          </w:p>
        </w:tc>
        <w:tc>
          <w:tcPr>
            <w:tcW w:w="2964" w:type="dxa"/>
            <w:noWrap w:val="0"/>
            <w:vAlign w:val="center"/>
          </w:tcPr>
          <w:p>
            <w:pPr>
              <w:rPr>
                <w:sz w:val="22"/>
                <w:szCs w:val="22"/>
              </w:rPr>
            </w:pPr>
            <w:r>
              <w:rPr>
                <w:rFonts w:hint="eastAsia"/>
                <w:sz w:val="22"/>
                <w:szCs w:val="22"/>
              </w:rPr>
              <w:t>5分为不合格，6-9分为合格，10-14分为良好，15分为优秀</w:t>
            </w:r>
          </w:p>
        </w:tc>
        <w:tc>
          <w:tcPr>
            <w:tcW w:w="900" w:type="dxa"/>
            <w:noWrap w:val="0"/>
            <w:vAlign w:val="center"/>
          </w:tcPr>
          <w:p>
            <w:pPr>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trPr>
        <w:tc>
          <w:tcPr>
            <w:tcW w:w="852" w:type="dxa"/>
            <w:vMerge w:val="continue"/>
            <w:noWrap w:val="0"/>
            <w:vAlign w:val="center"/>
          </w:tcPr>
          <w:p>
            <w:pPr>
              <w:jc w:val="center"/>
              <w:rPr>
                <w:rFonts w:hint="eastAsia"/>
                <w:sz w:val="22"/>
                <w:szCs w:val="22"/>
              </w:rPr>
            </w:pPr>
          </w:p>
        </w:tc>
        <w:tc>
          <w:tcPr>
            <w:tcW w:w="720" w:type="dxa"/>
            <w:noWrap w:val="0"/>
            <w:vAlign w:val="center"/>
          </w:tcPr>
          <w:p>
            <w:pPr>
              <w:jc w:val="center"/>
              <w:rPr>
                <w:sz w:val="22"/>
                <w:szCs w:val="22"/>
              </w:rPr>
            </w:pPr>
            <w:r>
              <w:rPr>
                <w:rFonts w:hint="eastAsia"/>
                <w:sz w:val="22"/>
                <w:szCs w:val="22"/>
              </w:rPr>
              <w:t>15</w:t>
            </w:r>
          </w:p>
        </w:tc>
        <w:tc>
          <w:tcPr>
            <w:tcW w:w="3852" w:type="dxa"/>
            <w:noWrap w:val="0"/>
            <w:vAlign w:val="center"/>
          </w:tcPr>
          <w:p>
            <w:pPr>
              <w:rPr>
                <w:sz w:val="22"/>
                <w:szCs w:val="22"/>
              </w:rPr>
            </w:pPr>
            <w:r>
              <w:rPr>
                <w:rFonts w:hint="eastAsia"/>
                <w:sz w:val="22"/>
                <w:szCs w:val="22"/>
              </w:rPr>
              <w:t>乙方在收到工程设计的需求后需在合同约定时间内向甲方负责人提交工程设计文件（含电子版）</w:t>
            </w:r>
          </w:p>
        </w:tc>
        <w:tc>
          <w:tcPr>
            <w:tcW w:w="828" w:type="dxa"/>
            <w:noWrap w:val="0"/>
            <w:vAlign w:val="center"/>
          </w:tcPr>
          <w:p>
            <w:pPr>
              <w:jc w:val="center"/>
              <w:rPr>
                <w:rFonts w:hint="eastAsia"/>
                <w:sz w:val="22"/>
                <w:szCs w:val="22"/>
              </w:rPr>
            </w:pPr>
            <w:r>
              <w:rPr>
                <w:rFonts w:hint="eastAsia"/>
                <w:sz w:val="22"/>
                <w:szCs w:val="22"/>
              </w:rPr>
              <w:t>符合要求</w:t>
            </w:r>
          </w:p>
        </w:tc>
        <w:tc>
          <w:tcPr>
            <w:tcW w:w="2964" w:type="dxa"/>
            <w:noWrap w:val="0"/>
            <w:vAlign w:val="center"/>
          </w:tcPr>
          <w:p>
            <w:pPr>
              <w:rPr>
                <w:rFonts w:hint="eastAsia"/>
                <w:sz w:val="22"/>
                <w:szCs w:val="22"/>
              </w:rPr>
            </w:pPr>
            <w:r>
              <w:rPr>
                <w:rFonts w:hint="eastAsia"/>
                <w:sz w:val="22"/>
                <w:szCs w:val="22"/>
              </w:rPr>
              <w:t>5分为不合格，6-9分为合格，10-14分为良好，15分为优秀</w:t>
            </w:r>
          </w:p>
        </w:tc>
        <w:tc>
          <w:tcPr>
            <w:tcW w:w="900" w:type="dxa"/>
            <w:noWrap w:val="0"/>
            <w:vAlign w:val="center"/>
          </w:tcPr>
          <w:p>
            <w:pPr>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852" w:type="dxa"/>
            <w:vMerge w:val="continue"/>
            <w:noWrap w:val="0"/>
            <w:vAlign w:val="center"/>
          </w:tcPr>
          <w:p>
            <w:pPr>
              <w:jc w:val="center"/>
              <w:rPr>
                <w:sz w:val="22"/>
                <w:szCs w:val="22"/>
              </w:rPr>
            </w:pPr>
          </w:p>
        </w:tc>
        <w:tc>
          <w:tcPr>
            <w:tcW w:w="720" w:type="dxa"/>
            <w:noWrap w:val="0"/>
            <w:vAlign w:val="center"/>
          </w:tcPr>
          <w:p>
            <w:pPr>
              <w:jc w:val="center"/>
              <w:rPr>
                <w:rFonts w:hint="eastAsia"/>
                <w:sz w:val="22"/>
                <w:szCs w:val="22"/>
              </w:rPr>
            </w:pPr>
            <w:r>
              <w:rPr>
                <w:rFonts w:hint="eastAsia"/>
                <w:sz w:val="22"/>
                <w:szCs w:val="22"/>
              </w:rPr>
              <w:t>15</w:t>
            </w:r>
          </w:p>
        </w:tc>
        <w:tc>
          <w:tcPr>
            <w:tcW w:w="3852" w:type="dxa"/>
            <w:noWrap w:val="0"/>
            <w:vAlign w:val="center"/>
          </w:tcPr>
          <w:p>
            <w:pPr>
              <w:rPr>
                <w:rFonts w:hint="eastAsia"/>
                <w:sz w:val="22"/>
                <w:szCs w:val="22"/>
              </w:rPr>
            </w:pPr>
            <w:r>
              <w:rPr>
                <w:rFonts w:hint="eastAsia"/>
                <w:sz w:val="22"/>
                <w:szCs w:val="22"/>
              </w:rPr>
              <w:t>乙方工程设计出图时应减少设计漏项及设计偏差，对后期施工造成不利影响，影响施工的正常进行。</w:t>
            </w:r>
          </w:p>
        </w:tc>
        <w:tc>
          <w:tcPr>
            <w:tcW w:w="828" w:type="dxa"/>
            <w:noWrap w:val="0"/>
            <w:vAlign w:val="center"/>
          </w:tcPr>
          <w:p>
            <w:pPr>
              <w:jc w:val="center"/>
              <w:rPr>
                <w:rFonts w:hint="eastAsia"/>
                <w:sz w:val="22"/>
                <w:szCs w:val="22"/>
              </w:rPr>
            </w:pPr>
            <w:r>
              <w:rPr>
                <w:rFonts w:hint="eastAsia"/>
                <w:sz w:val="22"/>
                <w:szCs w:val="22"/>
              </w:rPr>
              <w:t>符合要求</w:t>
            </w:r>
          </w:p>
        </w:tc>
        <w:tc>
          <w:tcPr>
            <w:tcW w:w="2964" w:type="dxa"/>
            <w:noWrap w:val="0"/>
            <w:vAlign w:val="center"/>
          </w:tcPr>
          <w:p>
            <w:pPr>
              <w:rPr>
                <w:rFonts w:hint="eastAsia"/>
                <w:sz w:val="22"/>
                <w:szCs w:val="22"/>
              </w:rPr>
            </w:pPr>
            <w:r>
              <w:rPr>
                <w:rFonts w:hint="eastAsia"/>
                <w:sz w:val="22"/>
                <w:szCs w:val="22"/>
              </w:rPr>
              <w:t>5分为不合格，6-9分为合格，10-14分为良好，15分为优秀</w:t>
            </w:r>
          </w:p>
        </w:tc>
        <w:tc>
          <w:tcPr>
            <w:tcW w:w="900" w:type="dxa"/>
            <w:noWrap w:val="0"/>
            <w:vAlign w:val="center"/>
          </w:tcPr>
          <w:p>
            <w:pPr>
              <w:jc w:val="center"/>
              <w:rPr>
                <w:rFonts w:hint="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852" w:type="dxa"/>
            <w:vMerge w:val="continue"/>
            <w:noWrap w:val="0"/>
            <w:vAlign w:val="center"/>
          </w:tcPr>
          <w:p>
            <w:pPr>
              <w:jc w:val="center"/>
              <w:rPr>
                <w:sz w:val="22"/>
                <w:szCs w:val="22"/>
              </w:rPr>
            </w:pPr>
          </w:p>
        </w:tc>
        <w:tc>
          <w:tcPr>
            <w:tcW w:w="720" w:type="dxa"/>
            <w:noWrap w:val="0"/>
            <w:vAlign w:val="center"/>
          </w:tcPr>
          <w:p>
            <w:pPr>
              <w:jc w:val="center"/>
              <w:rPr>
                <w:sz w:val="22"/>
                <w:szCs w:val="22"/>
              </w:rPr>
            </w:pPr>
            <w:r>
              <w:rPr>
                <w:rFonts w:hint="eastAsia"/>
                <w:sz w:val="22"/>
                <w:szCs w:val="22"/>
              </w:rPr>
              <w:t>15</w:t>
            </w:r>
          </w:p>
        </w:tc>
        <w:tc>
          <w:tcPr>
            <w:tcW w:w="3852" w:type="dxa"/>
            <w:noWrap w:val="0"/>
            <w:vAlign w:val="center"/>
          </w:tcPr>
          <w:p>
            <w:pPr>
              <w:rPr>
                <w:sz w:val="22"/>
                <w:szCs w:val="22"/>
              </w:rPr>
            </w:pPr>
            <w:r>
              <w:rPr>
                <w:rFonts w:hint="eastAsia"/>
                <w:sz w:val="22"/>
                <w:szCs w:val="22"/>
              </w:rPr>
              <w:t>乙方进行工程设计时，应按照蚌埠市最新规范要求进行设计，保证工程设计的合理性。</w:t>
            </w:r>
          </w:p>
        </w:tc>
        <w:tc>
          <w:tcPr>
            <w:tcW w:w="828" w:type="dxa"/>
            <w:noWrap w:val="0"/>
            <w:vAlign w:val="center"/>
          </w:tcPr>
          <w:p>
            <w:pPr>
              <w:jc w:val="center"/>
              <w:rPr>
                <w:rFonts w:hint="eastAsia"/>
                <w:sz w:val="22"/>
                <w:szCs w:val="22"/>
              </w:rPr>
            </w:pPr>
            <w:r>
              <w:rPr>
                <w:rFonts w:hint="eastAsia"/>
                <w:sz w:val="22"/>
                <w:szCs w:val="22"/>
              </w:rPr>
              <w:t>符合要求</w:t>
            </w:r>
          </w:p>
        </w:tc>
        <w:tc>
          <w:tcPr>
            <w:tcW w:w="2964" w:type="dxa"/>
            <w:noWrap w:val="0"/>
            <w:vAlign w:val="center"/>
          </w:tcPr>
          <w:p>
            <w:pPr>
              <w:rPr>
                <w:rFonts w:hint="eastAsia"/>
                <w:sz w:val="22"/>
                <w:szCs w:val="22"/>
              </w:rPr>
            </w:pPr>
            <w:r>
              <w:rPr>
                <w:rFonts w:hint="eastAsia"/>
                <w:sz w:val="22"/>
                <w:szCs w:val="22"/>
              </w:rPr>
              <w:t>5分为不合格，6-9分为合格，10-14分为良好，15分为优秀</w:t>
            </w:r>
          </w:p>
        </w:tc>
        <w:tc>
          <w:tcPr>
            <w:tcW w:w="900" w:type="dxa"/>
            <w:noWrap w:val="0"/>
            <w:vAlign w:val="center"/>
          </w:tcPr>
          <w:p>
            <w:pPr>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852" w:type="dxa"/>
            <w:vMerge w:val="restart"/>
            <w:noWrap w:val="0"/>
            <w:vAlign w:val="center"/>
          </w:tcPr>
          <w:p>
            <w:pPr>
              <w:pStyle w:val="13"/>
              <w:widowControl/>
              <w:jc w:val="center"/>
              <w:rPr>
                <w:kern w:val="2"/>
                <w:sz w:val="22"/>
                <w:szCs w:val="22"/>
              </w:rPr>
            </w:pPr>
            <w:r>
              <w:rPr>
                <w:rFonts w:hint="eastAsia"/>
                <w:kern w:val="2"/>
                <w:sz w:val="22"/>
                <w:szCs w:val="22"/>
              </w:rPr>
              <w:t>后期服务</w:t>
            </w:r>
          </w:p>
          <w:p>
            <w:pPr>
              <w:pStyle w:val="13"/>
              <w:widowControl/>
              <w:jc w:val="center"/>
              <w:rPr>
                <w:sz w:val="22"/>
                <w:szCs w:val="22"/>
              </w:rPr>
            </w:pPr>
            <w:r>
              <w:rPr>
                <w:rFonts w:hint="eastAsia"/>
                <w:kern w:val="2"/>
                <w:sz w:val="22"/>
                <w:szCs w:val="22"/>
              </w:rPr>
              <w:t>20分</w:t>
            </w:r>
          </w:p>
        </w:tc>
        <w:tc>
          <w:tcPr>
            <w:tcW w:w="720" w:type="dxa"/>
            <w:noWrap w:val="0"/>
            <w:vAlign w:val="center"/>
          </w:tcPr>
          <w:p>
            <w:pPr>
              <w:jc w:val="center"/>
              <w:rPr>
                <w:sz w:val="22"/>
                <w:szCs w:val="22"/>
              </w:rPr>
            </w:pPr>
            <w:r>
              <w:rPr>
                <w:rFonts w:hint="eastAsia"/>
                <w:sz w:val="22"/>
                <w:szCs w:val="22"/>
              </w:rPr>
              <w:t>10</w:t>
            </w:r>
          </w:p>
        </w:tc>
        <w:tc>
          <w:tcPr>
            <w:tcW w:w="3852" w:type="dxa"/>
            <w:noWrap w:val="0"/>
            <w:vAlign w:val="center"/>
          </w:tcPr>
          <w:p>
            <w:pPr>
              <w:rPr>
                <w:rFonts w:hint="eastAsia"/>
                <w:sz w:val="22"/>
                <w:szCs w:val="22"/>
              </w:rPr>
            </w:pPr>
            <w:r>
              <w:rPr>
                <w:rFonts w:hint="eastAsia"/>
                <w:sz w:val="22"/>
                <w:szCs w:val="22"/>
              </w:rPr>
              <w:t>乙方完成工程设计任务后，需对设计成果进行存档，并按照规定完成存档年限。</w:t>
            </w:r>
          </w:p>
        </w:tc>
        <w:tc>
          <w:tcPr>
            <w:tcW w:w="828" w:type="dxa"/>
            <w:noWrap w:val="0"/>
            <w:vAlign w:val="center"/>
          </w:tcPr>
          <w:p>
            <w:pPr>
              <w:jc w:val="center"/>
              <w:rPr>
                <w:rFonts w:hint="eastAsia"/>
                <w:sz w:val="22"/>
                <w:szCs w:val="22"/>
              </w:rPr>
            </w:pPr>
            <w:r>
              <w:rPr>
                <w:rFonts w:hint="eastAsia"/>
                <w:sz w:val="22"/>
                <w:szCs w:val="22"/>
              </w:rPr>
              <w:t>符合要求</w:t>
            </w:r>
          </w:p>
        </w:tc>
        <w:tc>
          <w:tcPr>
            <w:tcW w:w="2964" w:type="dxa"/>
            <w:noWrap w:val="0"/>
            <w:vAlign w:val="center"/>
          </w:tcPr>
          <w:p>
            <w:pPr>
              <w:rPr>
                <w:rFonts w:hint="eastAsia"/>
                <w:sz w:val="22"/>
                <w:szCs w:val="22"/>
              </w:rPr>
            </w:pPr>
            <w:r>
              <w:rPr>
                <w:rFonts w:hint="eastAsia"/>
                <w:sz w:val="22"/>
                <w:szCs w:val="22"/>
              </w:rPr>
              <w:t>3分为不合格，4-8分为合格，9分为良好，10分为优秀</w:t>
            </w:r>
          </w:p>
        </w:tc>
        <w:tc>
          <w:tcPr>
            <w:tcW w:w="900" w:type="dxa"/>
            <w:noWrap w:val="0"/>
            <w:vAlign w:val="center"/>
          </w:tcPr>
          <w:p>
            <w:pPr>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852" w:type="dxa"/>
            <w:vMerge w:val="continue"/>
            <w:noWrap w:val="0"/>
            <w:vAlign w:val="center"/>
          </w:tcPr>
          <w:p>
            <w:pPr>
              <w:jc w:val="center"/>
              <w:rPr>
                <w:sz w:val="22"/>
                <w:szCs w:val="22"/>
              </w:rPr>
            </w:pPr>
          </w:p>
        </w:tc>
        <w:tc>
          <w:tcPr>
            <w:tcW w:w="720" w:type="dxa"/>
            <w:noWrap w:val="0"/>
            <w:vAlign w:val="center"/>
          </w:tcPr>
          <w:p>
            <w:pPr>
              <w:jc w:val="center"/>
              <w:rPr>
                <w:sz w:val="22"/>
                <w:szCs w:val="22"/>
              </w:rPr>
            </w:pPr>
            <w:r>
              <w:rPr>
                <w:rFonts w:hint="eastAsia"/>
                <w:sz w:val="22"/>
                <w:szCs w:val="22"/>
              </w:rPr>
              <w:t>10</w:t>
            </w:r>
          </w:p>
        </w:tc>
        <w:tc>
          <w:tcPr>
            <w:tcW w:w="3852" w:type="dxa"/>
            <w:noWrap w:val="0"/>
            <w:vAlign w:val="center"/>
          </w:tcPr>
          <w:p>
            <w:pPr>
              <w:rPr>
                <w:rFonts w:hint="eastAsia"/>
                <w:sz w:val="22"/>
                <w:szCs w:val="22"/>
              </w:rPr>
            </w:pPr>
            <w:r>
              <w:rPr>
                <w:rFonts w:hint="eastAsia"/>
                <w:sz w:val="22"/>
                <w:szCs w:val="22"/>
              </w:rPr>
              <w:t>乙方需采购方进行工程项目验收并盖章，不得因验收盖章设置其他门槛，同时并提供相关资料。</w:t>
            </w:r>
          </w:p>
        </w:tc>
        <w:tc>
          <w:tcPr>
            <w:tcW w:w="828" w:type="dxa"/>
            <w:noWrap w:val="0"/>
            <w:vAlign w:val="center"/>
          </w:tcPr>
          <w:p>
            <w:pPr>
              <w:jc w:val="center"/>
              <w:rPr>
                <w:rFonts w:hint="eastAsia"/>
                <w:sz w:val="22"/>
                <w:szCs w:val="22"/>
              </w:rPr>
            </w:pPr>
            <w:r>
              <w:rPr>
                <w:rFonts w:hint="eastAsia"/>
                <w:sz w:val="22"/>
                <w:szCs w:val="22"/>
              </w:rPr>
              <w:t>符合要求</w:t>
            </w:r>
          </w:p>
        </w:tc>
        <w:tc>
          <w:tcPr>
            <w:tcW w:w="2964" w:type="dxa"/>
            <w:noWrap w:val="0"/>
            <w:vAlign w:val="center"/>
          </w:tcPr>
          <w:p>
            <w:pPr>
              <w:rPr>
                <w:rFonts w:hint="eastAsia"/>
                <w:sz w:val="22"/>
                <w:szCs w:val="22"/>
              </w:rPr>
            </w:pPr>
            <w:r>
              <w:rPr>
                <w:rFonts w:hint="eastAsia"/>
                <w:sz w:val="22"/>
                <w:szCs w:val="22"/>
              </w:rPr>
              <w:t>3分为不合格，4-8分为合格，9分为良好，10分为优秀</w:t>
            </w:r>
          </w:p>
        </w:tc>
        <w:tc>
          <w:tcPr>
            <w:tcW w:w="900" w:type="dxa"/>
            <w:noWrap w:val="0"/>
            <w:vAlign w:val="center"/>
          </w:tcPr>
          <w:p>
            <w:pPr>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1572" w:type="dxa"/>
            <w:gridSpan w:val="2"/>
            <w:noWrap w:val="0"/>
            <w:vAlign w:val="center"/>
          </w:tcPr>
          <w:p>
            <w:pPr>
              <w:jc w:val="center"/>
              <w:rPr>
                <w:rFonts w:hint="eastAsia"/>
                <w:sz w:val="22"/>
                <w:szCs w:val="22"/>
              </w:rPr>
            </w:pPr>
            <w:r>
              <w:rPr>
                <w:rFonts w:hint="eastAsia"/>
                <w:sz w:val="22"/>
                <w:szCs w:val="22"/>
              </w:rPr>
              <w:t>总分</w:t>
            </w:r>
          </w:p>
        </w:tc>
        <w:tc>
          <w:tcPr>
            <w:tcW w:w="4680" w:type="dxa"/>
            <w:gridSpan w:val="2"/>
            <w:noWrap w:val="0"/>
            <w:vAlign w:val="center"/>
          </w:tcPr>
          <w:p>
            <w:pPr>
              <w:jc w:val="center"/>
              <w:rPr>
                <w:sz w:val="22"/>
                <w:szCs w:val="22"/>
              </w:rPr>
            </w:pPr>
            <w:r>
              <w:rPr>
                <w:rFonts w:hint="eastAsia"/>
                <w:sz w:val="22"/>
                <w:szCs w:val="22"/>
              </w:rPr>
              <w:t>100</w:t>
            </w:r>
          </w:p>
        </w:tc>
        <w:tc>
          <w:tcPr>
            <w:tcW w:w="2964" w:type="dxa"/>
            <w:noWrap w:val="0"/>
            <w:vAlign w:val="center"/>
          </w:tcPr>
          <w:p>
            <w:pPr>
              <w:jc w:val="center"/>
              <w:rPr>
                <w:sz w:val="22"/>
                <w:szCs w:val="22"/>
              </w:rPr>
            </w:pPr>
            <w:r>
              <w:rPr>
                <w:rFonts w:hint="eastAsia"/>
                <w:sz w:val="22"/>
                <w:szCs w:val="22"/>
              </w:rPr>
              <w:t>考核得分</w:t>
            </w:r>
          </w:p>
        </w:tc>
        <w:tc>
          <w:tcPr>
            <w:tcW w:w="900" w:type="dxa"/>
            <w:noWrap w:val="0"/>
            <w:vAlign w:val="center"/>
          </w:tcPr>
          <w:p>
            <w:pPr>
              <w:jc w:val="center"/>
              <w:rPr>
                <w:sz w:val="22"/>
                <w:szCs w:val="22"/>
              </w:rPr>
            </w:pPr>
          </w:p>
        </w:tc>
      </w:tr>
    </w:tbl>
    <w:p>
      <w:pPr>
        <w:rPr>
          <w:b/>
          <w:bCs/>
          <w:sz w:val="28"/>
          <w:szCs w:val="28"/>
        </w:rPr>
      </w:pPr>
      <w:r>
        <w:rPr>
          <w:rFonts w:hint="eastAsia"/>
        </w:rPr>
        <w:t>考核人：                                    后勤保障部确认：</w:t>
      </w:r>
    </w:p>
    <w:p>
      <w:pPr>
        <w:rPr>
          <w:rFonts w:hint="eastAsia" w:ascii="新宋体" w:hAnsi="新宋体" w:eastAsia="新宋体" w:cs="方正小标宋简体"/>
          <w:b/>
          <w:color w:val="auto"/>
          <w:sz w:val="32"/>
          <w:szCs w:val="36"/>
          <w:highlight w:val="none"/>
        </w:rPr>
      </w:pPr>
      <w:r>
        <w:rPr>
          <w:rFonts w:hint="eastAsia" w:ascii="新宋体" w:hAnsi="新宋体" w:eastAsia="新宋体" w:cs="方正小标宋简体"/>
          <w:b/>
          <w:color w:val="auto"/>
          <w:sz w:val="32"/>
          <w:szCs w:val="36"/>
          <w:highlight w:val="none"/>
        </w:rPr>
        <w:br w:type="page"/>
      </w:r>
    </w:p>
    <w:p>
      <w:pPr>
        <w:jc w:val="center"/>
        <w:rPr>
          <w:rFonts w:ascii="新宋体" w:hAnsi="新宋体" w:eastAsia="新宋体" w:cs="方正小标宋简体"/>
          <w:b/>
          <w:color w:val="auto"/>
          <w:sz w:val="32"/>
          <w:szCs w:val="36"/>
          <w:highlight w:val="none"/>
        </w:rPr>
      </w:pPr>
      <w:r>
        <w:rPr>
          <w:rFonts w:hint="eastAsia" w:ascii="新宋体" w:hAnsi="新宋体" w:eastAsia="新宋体" w:cs="方正小标宋简体"/>
          <w:b/>
          <w:color w:val="auto"/>
          <w:sz w:val="32"/>
          <w:szCs w:val="36"/>
          <w:highlight w:val="none"/>
        </w:rPr>
        <w:t xml:space="preserve">蚌埠市第三人民医院工程设计外包服务项目采购意向及需求公示的反馈意见 </w:t>
      </w:r>
    </w:p>
    <w:p>
      <w:pPr>
        <w:rPr>
          <w:rFonts w:ascii="宋体" w:hAnsi="宋体" w:cs="宋体"/>
          <w:color w:val="auto"/>
          <w:sz w:val="28"/>
          <w:szCs w:val="28"/>
          <w:highlight w:val="none"/>
        </w:rPr>
      </w:pPr>
      <w:r>
        <w:rPr>
          <w:rFonts w:hint="eastAsia"/>
          <w:color w:val="auto"/>
          <w:sz w:val="28"/>
          <w:szCs w:val="28"/>
          <w:highlight w:val="none"/>
          <w:lang w:val="zh-CN"/>
        </w:rPr>
        <w:t>安徽省志成建设工程咨询股份有限公司</w:t>
      </w:r>
      <w:r>
        <w:rPr>
          <w:rFonts w:hint="eastAsia" w:ascii="宋体" w:hAnsi="宋体" w:cs="宋体"/>
          <w:color w:val="auto"/>
          <w:sz w:val="28"/>
          <w:szCs w:val="28"/>
          <w:highlight w:val="none"/>
        </w:rPr>
        <w:t>：</w:t>
      </w:r>
    </w:p>
    <w:p>
      <w:pPr>
        <w:ind w:firstLine="560" w:firstLineChars="200"/>
        <w:rPr>
          <w:rFonts w:ascii="宋体" w:hAnsi="宋体" w:cs="宋体"/>
          <w:color w:val="auto"/>
          <w:sz w:val="28"/>
          <w:szCs w:val="28"/>
          <w:highlight w:val="none"/>
        </w:rPr>
      </w:pPr>
      <w:r>
        <w:rPr>
          <w:rFonts w:hint="eastAsia" w:ascii="宋体" w:hAnsi="宋体" w:cs="宋体"/>
          <w:color w:val="auto"/>
          <w:sz w:val="28"/>
          <w:szCs w:val="28"/>
          <w:highlight w:val="none"/>
        </w:rPr>
        <w:t>针对蚌埠市第三人民医院工程设计外包服务项目</w:t>
      </w:r>
      <w:bookmarkStart w:id="0" w:name="_GoBack"/>
      <w:bookmarkEnd w:id="0"/>
      <w:r>
        <w:rPr>
          <w:rFonts w:hint="eastAsia" w:ascii="宋体" w:hAnsi="宋体" w:cs="宋体"/>
          <w:color w:val="auto"/>
          <w:sz w:val="28"/>
          <w:szCs w:val="28"/>
          <w:highlight w:val="none"/>
          <w:lang w:val="en-US" w:eastAsia="zh-CN"/>
        </w:rPr>
        <w:t>。</w:t>
      </w:r>
      <w:r>
        <w:rPr>
          <w:rFonts w:hint="eastAsia" w:ascii="宋体" w:hAnsi="宋体" w:cs="宋体"/>
          <w:color w:val="auto"/>
          <w:sz w:val="28"/>
          <w:szCs w:val="28"/>
          <w:highlight w:val="none"/>
        </w:rPr>
        <w:t>采购意向及需求公示，我单位反馈意见如下：</w:t>
      </w:r>
    </w:p>
    <w:p>
      <w:pPr>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一、需求存在倾向性内容，建议进行修改，修改意见如下：</w:t>
      </w:r>
    </w:p>
    <w:p>
      <w:pPr>
        <w:ind w:left="555"/>
        <w:rPr>
          <w:rFonts w:ascii="宋体"/>
          <w:color w:val="auto"/>
          <w:sz w:val="28"/>
          <w:szCs w:val="28"/>
          <w:highlight w:val="none"/>
        </w:rPr>
      </w:pPr>
      <w:r>
        <w:rPr>
          <w:rFonts w:ascii="宋体" w:hAnsi="宋体" w:cs="宋体"/>
          <w:color w:val="auto"/>
          <w:sz w:val="28"/>
          <w:szCs w:val="28"/>
          <w:highlight w:val="none"/>
        </w:rPr>
        <w:t>1</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ascii="宋体" w:hAnsi="宋体" w:cs="宋体"/>
          <w:color w:val="auto"/>
          <w:sz w:val="28"/>
          <w:szCs w:val="28"/>
          <w:highlight w:val="none"/>
        </w:rPr>
        <w:t>2</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hint="eastAsia" w:ascii="宋体" w:hAnsi="宋体" w:cs="宋体"/>
          <w:color w:val="auto"/>
          <w:sz w:val="28"/>
          <w:szCs w:val="28"/>
          <w:highlight w:val="none"/>
        </w:rPr>
        <w:t>…</w:t>
      </w:r>
    </w:p>
    <w:p>
      <w:pPr>
        <w:ind w:firstLine="560" w:firstLineChars="200"/>
        <w:outlineLvl w:val="0"/>
        <w:rPr>
          <w:rFonts w:ascii="宋体"/>
          <w:color w:val="auto"/>
          <w:sz w:val="28"/>
          <w:szCs w:val="28"/>
          <w:highlight w:val="none"/>
        </w:rPr>
      </w:pPr>
      <w:r>
        <w:rPr>
          <w:rFonts w:hint="eastAsia" w:ascii="宋体" w:hAnsi="宋体" w:cs="宋体"/>
          <w:color w:val="auto"/>
          <w:sz w:val="28"/>
          <w:szCs w:val="28"/>
          <w:highlight w:val="none"/>
        </w:rPr>
        <w:t>二、技术需求存在不明确（或不完整）内容，无法报价，建议进行完善，完善意见如下：</w:t>
      </w:r>
    </w:p>
    <w:p>
      <w:pPr>
        <w:ind w:left="555"/>
        <w:rPr>
          <w:rFonts w:ascii="宋体"/>
          <w:color w:val="auto"/>
          <w:sz w:val="28"/>
          <w:szCs w:val="28"/>
          <w:highlight w:val="none"/>
        </w:rPr>
      </w:pPr>
      <w:r>
        <w:rPr>
          <w:rFonts w:ascii="宋体" w:hAnsi="宋体" w:cs="宋体"/>
          <w:color w:val="auto"/>
          <w:sz w:val="28"/>
          <w:szCs w:val="28"/>
          <w:highlight w:val="none"/>
        </w:rPr>
        <w:t>1</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ascii="宋体" w:hAnsi="宋体" w:cs="宋体"/>
          <w:color w:val="auto"/>
          <w:sz w:val="28"/>
          <w:szCs w:val="28"/>
          <w:highlight w:val="none"/>
        </w:rPr>
        <w:t>2</w:t>
      </w:r>
      <w:r>
        <w:rPr>
          <w:rFonts w:hint="eastAsia" w:ascii="宋体" w:hAnsi="宋体" w:cs="宋体"/>
          <w:color w:val="auto"/>
          <w:sz w:val="28"/>
          <w:szCs w:val="28"/>
          <w:highlight w:val="none"/>
        </w:rPr>
        <w:t>、</w:t>
      </w:r>
    </w:p>
    <w:p>
      <w:pPr>
        <w:ind w:left="555"/>
        <w:rPr>
          <w:rFonts w:ascii="宋体"/>
          <w:color w:val="auto"/>
          <w:sz w:val="28"/>
          <w:szCs w:val="28"/>
          <w:highlight w:val="none"/>
        </w:rPr>
      </w:pPr>
      <w:r>
        <w:rPr>
          <w:rFonts w:hint="eastAsia" w:ascii="宋体" w:hAnsi="宋体" w:cs="宋体"/>
          <w:color w:val="auto"/>
          <w:sz w:val="28"/>
          <w:szCs w:val="28"/>
          <w:highlight w:val="none"/>
        </w:rPr>
        <w:t>…</w:t>
      </w:r>
    </w:p>
    <w:p>
      <w:pPr>
        <w:pStyle w:val="13"/>
        <w:snapToGrid w:val="0"/>
        <w:spacing w:beforeAutospacing="0" w:afterAutospacing="0" w:line="360" w:lineRule="auto"/>
        <w:outlineLvl w:val="2"/>
        <w:rPr>
          <w:rFonts w:ascii="宋体" w:hAnsi="宋体" w:cs="宋体"/>
          <w:bCs/>
          <w:color w:val="auto"/>
          <w:szCs w:val="24"/>
          <w:highlight w:val="none"/>
        </w:rPr>
      </w:pPr>
      <w:r>
        <w:rPr>
          <w:rFonts w:hint="eastAsia" w:ascii="宋体" w:hAnsi="宋体" w:cs="宋体"/>
          <w:color w:val="auto"/>
          <w:sz w:val="28"/>
          <w:szCs w:val="28"/>
          <w:highlight w:val="none"/>
        </w:rPr>
        <w:t>特此函告</w:t>
      </w:r>
    </w:p>
    <w:p>
      <w:pPr>
        <w:rPr>
          <w:rFonts w:ascii="宋体" w:hAnsi="宋体" w:eastAsia="宋体" w:cs="宋体"/>
          <w:color w:val="auto"/>
          <w:kern w:val="0"/>
          <w:sz w:val="28"/>
          <w:szCs w:val="28"/>
          <w:highlight w:val="none"/>
        </w:rPr>
      </w:pPr>
    </w:p>
    <w:p>
      <w:pPr>
        <w:rPr>
          <w:rFonts w:hint="eastAsia"/>
          <w:color w:val="auto"/>
          <w:lang w:val="en-US" w:eastAsia="zh-CN"/>
        </w:rPr>
      </w:pPr>
    </w:p>
    <w:p>
      <w:pPr>
        <w:rPr>
          <w:rFonts w:ascii="宋体" w:hAnsi="宋体" w:eastAsia="宋体" w:cs="宋体"/>
          <w:color w:val="auto"/>
          <w:kern w:val="0"/>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03" w:usb1="288F0000" w:usb2="0000000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4B5CF1"/>
    <w:multiLevelType w:val="singleLevel"/>
    <w:tmpl w:val="894B5CF1"/>
    <w:lvl w:ilvl="0" w:tentative="0">
      <w:start w:val="1"/>
      <w:numFmt w:val="decimal"/>
      <w:suff w:val="nothing"/>
      <w:lvlText w:val="（%1）"/>
      <w:lvlJc w:val="left"/>
    </w:lvl>
  </w:abstractNum>
  <w:abstractNum w:abstractNumId="1">
    <w:nsid w:val="E78072E2"/>
    <w:multiLevelType w:val="singleLevel"/>
    <w:tmpl w:val="E78072E2"/>
    <w:lvl w:ilvl="0" w:tentative="0">
      <w:start w:val="2"/>
      <w:numFmt w:val="chineseCounting"/>
      <w:suff w:val="nothing"/>
      <w:lvlText w:val="%1、"/>
      <w:lvlJc w:val="left"/>
      <w:rPr>
        <w:rFonts w:hint="eastAsia"/>
      </w:rPr>
    </w:lvl>
  </w:abstractNum>
  <w:abstractNum w:abstractNumId="2">
    <w:nsid w:val="FC28D169"/>
    <w:multiLevelType w:val="singleLevel"/>
    <w:tmpl w:val="FC28D169"/>
    <w:lvl w:ilvl="0" w:tentative="0">
      <w:start w:val="5"/>
      <w:numFmt w:val="decimal"/>
      <w:suff w:val="nothing"/>
      <w:lvlText w:val="%1、"/>
      <w:lvlJc w:val="left"/>
      <w:pPr>
        <w:ind w:left="420" w:firstLine="0"/>
      </w:pPr>
    </w:lvl>
  </w:abstractNum>
  <w:abstractNum w:abstractNumId="3">
    <w:nsid w:val="34990EA0"/>
    <w:multiLevelType w:val="multilevel"/>
    <w:tmpl w:val="34990EA0"/>
    <w:lvl w:ilvl="0" w:tentative="0">
      <w:start w:val="1"/>
      <w:numFmt w:val="decimal"/>
      <w:lvlText w:val="%1"/>
      <w:lvlJc w:val="left"/>
      <w:pPr>
        <w:ind w:left="432" w:hanging="432"/>
      </w:pPr>
    </w:lvl>
    <w:lvl w:ilvl="1" w:tentative="0">
      <w:start w:val="1"/>
      <w:numFmt w:val="decimal"/>
      <w:pStyle w:val="3"/>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4">
    <w:nsid w:val="5503E1A1"/>
    <w:multiLevelType w:val="singleLevel"/>
    <w:tmpl w:val="5503E1A1"/>
    <w:lvl w:ilvl="0" w:tentative="0">
      <w:start w:val="1"/>
      <w:numFmt w:val="decimal"/>
      <w:lvlText w:val="%1."/>
      <w:lvlJc w:val="left"/>
      <w:pPr>
        <w:tabs>
          <w:tab w:val="left" w:pos="312"/>
        </w:tabs>
        <w:ind w:left="560" w:firstLine="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10B006C"/>
    <w:rsid w:val="02F95C17"/>
    <w:rsid w:val="03F618F7"/>
    <w:rsid w:val="04B2334E"/>
    <w:rsid w:val="05BB0E6A"/>
    <w:rsid w:val="05C93323"/>
    <w:rsid w:val="07884358"/>
    <w:rsid w:val="088157DD"/>
    <w:rsid w:val="0EA531C5"/>
    <w:rsid w:val="102871DA"/>
    <w:rsid w:val="134C6DF2"/>
    <w:rsid w:val="13CC35BB"/>
    <w:rsid w:val="165F752B"/>
    <w:rsid w:val="19E1315F"/>
    <w:rsid w:val="1A4F03D7"/>
    <w:rsid w:val="1A5F0800"/>
    <w:rsid w:val="20701E96"/>
    <w:rsid w:val="207324C6"/>
    <w:rsid w:val="21580108"/>
    <w:rsid w:val="21CE1D7D"/>
    <w:rsid w:val="24AE53EF"/>
    <w:rsid w:val="257122AF"/>
    <w:rsid w:val="2D925870"/>
    <w:rsid w:val="312D0AC1"/>
    <w:rsid w:val="3183424E"/>
    <w:rsid w:val="389356B3"/>
    <w:rsid w:val="39E72900"/>
    <w:rsid w:val="3A59465F"/>
    <w:rsid w:val="3BBA09A9"/>
    <w:rsid w:val="3CDD2385"/>
    <w:rsid w:val="3D3F4BEA"/>
    <w:rsid w:val="3E971897"/>
    <w:rsid w:val="41617943"/>
    <w:rsid w:val="43BA7AD7"/>
    <w:rsid w:val="442C0469"/>
    <w:rsid w:val="44C73830"/>
    <w:rsid w:val="45156B9E"/>
    <w:rsid w:val="46796E24"/>
    <w:rsid w:val="46DB1D87"/>
    <w:rsid w:val="480656EC"/>
    <w:rsid w:val="48212119"/>
    <w:rsid w:val="4B3F7A97"/>
    <w:rsid w:val="4D071309"/>
    <w:rsid w:val="4DA43E48"/>
    <w:rsid w:val="52FB7715"/>
    <w:rsid w:val="558D68E8"/>
    <w:rsid w:val="55C51B2F"/>
    <w:rsid w:val="56DD42FB"/>
    <w:rsid w:val="5C267B9A"/>
    <w:rsid w:val="5C6E4623"/>
    <w:rsid w:val="5D480901"/>
    <w:rsid w:val="5F2B5C40"/>
    <w:rsid w:val="5FF4532C"/>
    <w:rsid w:val="630E2FA0"/>
    <w:rsid w:val="63985972"/>
    <w:rsid w:val="6479387F"/>
    <w:rsid w:val="64EA6690"/>
    <w:rsid w:val="64FF6797"/>
    <w:rsid w:val="65F26C7F"/>
    <w:rsid w:val="67EF7DEE"/>
    <w:rsid w:val="68ED244F"/>
    <w:rsid w:val="6D663E0B"/>
    <w:rsid w:val="6E5318EA"/>
    <w:rsid w:val="6F915E09"/>
    <w:rsid w:val="6F922F7F"/>
    <w:rsid w:val="703F64BC"/>
    <w:rsid w:val="754828ED"/>
    <w:rsid w:val="754941F9"/>
    <w:rsid w:val="75BD7996"/>
    <w:rsid w:val="76AC78FF"/>
    <w:rsid w:val="785B11A6"/>
    <w:rsid w:val="795F7F1A"/>
    <w:rsid w:val="79A46F58"/>
    <w:rsid w:val="7F7E0C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after="330" w:afterLines="0" w:line="576" w:lineRule="auto"/>
      <w:outlineLvl w:val="0"/>
    </w:pPr>
    <w:rPr>
      <w:b/>
      <w:bCs/>
      <w:kern w:val="44"/>
      <w:sz w:val="30"/>
      <w:szCs w:val="44"/>
    </w:rPr>
  </w:style>
  <w:style w:type="paragraph" w:styleId="3">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26"/>
    <w:autoRedefine/>
    <w:semiHidden/>
    <w:unhideWhenUsed/>
    <w:qFormat/>
    <w:uiPriority w:val="99"/>
    <w:pPr>
      <w:jc w:val="left"/>
    </w:pPr>
  </w:style>
  <w:style w:type="paragraph" w:styleId="5">
    <w:name w:val="Body Text"/>
    <w:basedOn w:val="1"/>
    <w:next w:val="1"/>
    <w:autoRedefine/>
    <w:qFormat/>
    <w:uiPriority w:val="0"/>
    <w:rPr>
      <w:rFonts w:ascii="宋体" w:hAnsi="Arial"/>
      <w:sz w:val="28"/>
    </w:rPr>
  </w:style>
  <w:style w:type="paragraph" w:styleId="6">
    <w:name w:val="Body Text Indent"/>
    <w:basedOn w:val="1"/>
    <w:next w:val="7"/>
    <w:autoRedefine/>
    <w:qFormat/>
    <w:uiPriority w:val="0"/>
    <w:pPr>
      <w:ind w:left="420" w:leftChars="200"/>
    </w:pPr>
  </w:style>
  <w:style w:type="paragraph" w:styleId="7">
    <w:name w:val="envelope return"/>
    <w:basedOn w:val="1"/>
    <w:autoRedefine/>
    <w:qFormat/>
    <w:uiPriority w:val="0"/>
    <w:pPr>
      <w:snapToGrid w:val="0"/>
    </w:pPr>
    <w:rPr>
      <w:rFonts w:ascii="Arial" w:hAnsi="Arial" w:cs="Arial"/>
    </w:rPr>
  </w:style>
  <w:style w:type="paragraph" w:styleId="8">
    <w:name w:val="Plain Text"/>
    <w:basedOn w:val="1"/>
    <w:next w:val="1"/>
    <w:autoRedefine/>
    <w:qFormat/>
    <w:uiPriority w:val="0"/>
    <w:rPr>
      <w:rFonts w:ascii="宋体" w:hAnsi="Courier New"/>
    </w:rPr>
  </w:style>
  <w:style w:type="paragraph" w:styleId="9">
    <w:name w:val="Balloon Text"/>
    <w:basedOn w:val="1"/>
    <w:link w:val="28"/>
    <w:autoRedefine/>
    <w:semiHidden/>
    <w:unhideWhenUsed/>
    <w:qFormat/>
    <w:uiPriority w:val="99"/>
    <w:rPr>
      <w:sz w:val="18"/>
      <w:szCs w:val="18"/>
    </w:rPr>
  </w:style>
  <w:style w:type="paragraph" w:styleId="10">
    <w:name w:val="footer"/>
    <w:basedOn w:val="1"/>
    <w:link w:val="23"/>
    <w:autoRedefine/>
    <w:unhideWhenUsed/>
    <w:qFormat/>
    <w:uiPriority w:val="99"/>
    <w:pPr>
      <w:tabs>
        <w:tab w:val="center" w:pos="4153"/>
        <w:tab w:val="right" w:pos="8306"/>
      </w:tabs>
      <w:snapToGrid w:val="0"/>
      <w:jc w:val="left"/>
    </w:pPr>
    <w:rPr>
      <w:sz w:val="18"/>
      <w:szCs w:val="18"/>
    </w:rPr>
  </w:style>
  <w:style w:type="paragraph" w:styleId="11">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unhideWhenUsed/>
    <w:qFormat/>
    <w:uiPriority w:val="39"/>
  </w:style>
  <w:style w:type="paragraph" w:styleId="13">
    <w:name w:val="Normal (Web)"/>
    <w:basedOn w:val="1"/>
    <w:autoRedefine/>
    <w:unhideWhenUsed/>
    <w:qFormat/>
    <w:uiPriority w:val="0"/>
    <w:pPr>
      <w:spacing w:beforeAutospacing="1" w:afterAutospacing="1"/>
      <w:jc w:val="left"/>
    </w:pPr>
    <w:rPr>
      <w:kern w:val="0"/>
      <w:sz w:val="24"/>
    </w:rPr>
  </w:style>
  <w:style w:type="paragraph" w:styleId="14">
    <w:name w:val="annotation subject"/>
    <w:basedOn w:val="4"/>
    <w:next w:val="4"/>
    <w:link w:val="27"/>
    <w:autoRedefine/>
    <w:semiHidden/>
    <w:unhideWhenUsed/>
    <w:qFormat/>
    <w:uiPriority w:val="99"/>
    <w:rPr>
      <w:b/>
      <w:bCs/>
    </w:rPr>
  </w:style>
  <w:style w:type="paragraph" w:styleId="15">
    <w:name w:val="Body Text First Indent 2"/>
    <w:basedOn w:val="6"/>
    <w:next w:val="1"/>
    <w:autoRedefine/>
    <w:qFormat/>
    <w:uiPriority w:val="0"/>
    <w:pPr>
      <w:ind w:firstLine="420" w:firstLineChars="200"/>
    </w:pPr>
  </w:style>
  <w:style w:type="table" w:styleId="17">
    <w:name w:val="Table Grid"/>
    <w:basedOn w:val="16"/>
    <w:autoRedefine/>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style>
  <w:style w:type="character" w:styleId="20">
    <w:name w:val="annotation reference"/>
    <w:basedOn w:val="18"/>
    <w:autoRedefine/>
    <w:semiHidden/>
    <w:unhideWhenUsed/>
    <w:qFormat/>
    <w:uiPriority w:val="99"/>
    <w:rPr>
      <w:sz w:val="21"/>
      <w:szCs w:val="21"/>
    </w:rPr>
  </w:style>
  <w:style w:type="paragraph" w:customStyle="1" w:styleId="21">
    <w:name w:val="Default"/>
    <w:autoRedefine/>
    <w:qFormat/>
    <w:uiPriority w:val="0"/>
    <w:pPr>
      <w:widowControl w:val="0"/>
      <w:autoSpaceDE w:val="0"/>
      <w:autoSpaceDN w:val="0"/>
      <w:adjustRightInd w:val="0"/>
    </w:pPr>
    <w:rPr>
      <w:rFonts w:ascii="......." w:hAnsi="Calibri" w:eastAsia="......." w:cs="......."/>
      <w:color w:val="000000"/>
      <w:sz w:val="24"/>
      <w:szCs w:val="24"/>
      <w:lang w:val="en-US" w:eastAsia="zh-CN" w:bidi="ar-SA"/>
    </w:rPr>
  </w:style>
  <w:style w:type="character" w:customStyle="1" w:styleId="22">
    <w:name w:val="页眉 Char"/>
    <w:basedOn w:val="18"/>
    <w:link w:val="11"/>
    <w:autoRedefine/>
    <w:semiHidden/>
    <w:qFormat/>
    <w:uiPriority w:val="99"/>
    <w:rPr>
      <w:sz w:val="18"/>
      <w:szCs w:val="18"/>
    </w:rPr>
  </w:style>
  <w:style w:type="character" w:customStyle="1" w:styleId="23">
    <w:name w:val="页脚 Char"/>
    <w:basedOn w:val="18"/>
    <w:link w:val="10"/>
    <w:autoRedefine/>
    <w:semiHidden/>
    <w:qFormat/>
    <w:uiPriority w:val="99"/>
    <w:rPr>
      <w:sz w:val="18"/>
      <w:szCs w:val="18"/>
    </w:rPr>
  </w:style>
  <w:style w:type="paragraph" w:customStyle="1" w:styleId="24">
    <w:name w:val="列出段落1"/>
    <w:basedOn w:val="1"/>
    <w:autoRedefine/>
    <w:qFormat/>
    <w:uiPriority w:val="34"/>
    <w:pPr>
      <w:ind w:firstLine="420" w:firstLineChars="200"/>
    </w:pPr>
  </w:style>
  <w:style w:type="paragraph" w:styleId="25">
    <w:name w:val="List Paragraph"/>
    <w:basedOn w:val="1"/>
    <w:autoRedefine/>
    <w:unhideWhenUsed/>
    <w:qFormat/>
    <w:uiPriority w:val="99"/>
    <w:pPr>
      <w:ind w:firstLine="420" w:firstLineChars="200"/>
    </w:pPr>
  </w:style>
  <w:style w:type="character" w:customStyle="1" w:styleId="26">
    <w:name w:val="批注文字 Char"/>
    <w:basedOn w:val="18"/>
    <w:link w:val="4"/>
    <w:autoRedefine/>
    <w:semiHidden/>
    <w:qFormat/>
    <w:uiPriority w:val="99"/>
    <w:rPr>
      <w:kern w:val="2"/>
      <w:sz w:val="21"/>
      <w:szCs w:val="22"/>
    </w:rPr>
  </w:style>
  <w:style w:type="character" w:customStyle="1" w:styleId="27">
    <w:name w:val="批注主题 Char"/>
    <w:basedOn w:val="26"/>
    <w:link w:val="14"/>
    <w:autoRedefine/>
    <w:semiHidden/>
    <w:qFormat/>
    <w:uiPriority w:val="99"/>
    <w:rPr>
      <w:b/>
      <w:bCs/>
    </w:rPr>
  </w:style>
  <w:style w:type="character" w:customStyle="1" w:styleId="28">
    <w:name w:val="批注框文本 Char"/>
    <w:basedOn w:val="18"/>
    <w:link w:val="9"/>
    <w:autoRedefine/>
    <w:semiHidden/>
    <w:qFormat/>
    <w:uiPriority w:val="99"/>
    <w:rPr>
      <w:kern w:val="2"/>
      <w:sz w:val="18"/>
      <w:szCs w:val="18"/>
    </w:rPr>
  </w:style>
  <w:style w:type="paragraph" w:customStyle="1" w:styleId="29">
    <w:name w:val="正文11"/>
    <w:basedOn w:val="1"/>
    <w:autoRedefine/>
    <w:qFormat/>
    <w:uiPriority w:val="0"/>
    <w:pPr>
      <w:adjustRightInd w:val="0"/>
      <w:spacing w:line="318" w:lineRule="atLeast"/>
      <w:ind w:left="369" w:firstLine="369"/>
      <w:textAlignment w:val="baseline"/>
    </w:pPr>
    <w:rPr>
      <w:rFonts w:ascii="宋体" w:hAnsi="Calibri"/>
      <w:szCs w:val="20"/>
    </w:rPr>
  </w:style>
  <w:style w:type="paragraph" w:customStyle="1" w:styleId="30">
    <w:name w:val="Normal"/>
    <w:autoRedefine/>
    <w:qFormat/>
    <w:uiPriority w:val="0"/>
    <w:rPr>
      <w:rFonts w:ascii="Times New Roman" w:hAnsi="Times New Roman" w:eastAsia="Times New Roman" w:cs="Times New Roman"/>
      <w:sz w:val="24"/>
      <w:szCs w:val="24"/>
      <w:lang w:bidi="ar-SA"/>
    </w:rPr>
  </w:style>
  <w:style w:type="table" w:customStyle="1" w:styleId="31">
    <w:name w:val="Plain Table 1"/>
    <w:basedOn w:val="16"/>
    <w:autoRedefine/>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2">
    <w:name w:val="正文_0"/>
    <w:autoRedefine/>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3">
    <w:name w:val="font51"/>
    <w:basedOn w:val="18"/>
    <w:autoRedefine/>
    <w:qFormat/>
    <w:uiPriority w:val="0"/>
    <w:rPr>
      <w:rFonts w:ascii="Calibri" w:hAnsi="Calibri" w:cs="Calibri"/>
      <w:color w:val="000000"/>
      <w:sz w:val="22"/>
      <w:szCs w:val="22"/>
      <w:u w:val="none"/>
    </w:rPr>
  </w:style>
  <w:style w:type="paragraph" w:customStyle="1" w:styleId="34">
    <w:name w:val="列表段落1"/>
    <w:basedOn w:val="1"/>
    <w:autoRedefine/>
    <w:qFormat/>
    <w:uiPriority w:val="34"/>
    <w:pPr>
      <w:ind w:firstLine="420" w:firstLineChars="200"/>
    </w:pPr>
    <w:rPr>
      <w:rFonts w:ascii="Calibri" w:hAnsi="Calibri"/>
      <w:szCs w:val="24"/>
    </w:rPr>
  </w:style>
  <w:style w:type="character" w:customStyle="1" w:styleId="35">
    <w:name w:val="font21"/>
    <w:basedOn w:val="18"/>
    <w:autoRedefine/>
    <w:qFormat/>
    <w:uiPriority w:val="0"/>
    <w:rPr>
      <w:rFonts w:hint="eastAsia" w:ascii="宋体" w:hAnsi="宋体" w:eastAsia="宋体" w:cs="宋体"/>
      <w:color w:val="000000"/>
      <w:sz w:val="24"/>
      <w:szCs w:val="24"/>
      <w:u w:val="none"/>
    </w:rPr>
  </w:style>
  <w:style w:type="paragraph" w:customStyle="1" w:styleId="36">
    <w:name w:val="GHT-正文"/>
    <w:basedOn w:val="1"/>
    <w:autoRedefine/>
    <w:qFormat/>
    <w:uiPriority w:val="0"/>
    <w:pPr>
      <w:adjustRightInd w:val="0"/>
      <w:spacing w:line="400" w:lineRule="exact"/>
      <w:ind w:firstLine="520" w:firstLineChars="200"/>
      <w:textAlignment w:val="baseline"/>
    </w:pPr>
    <w:rPr>
      <w:color w:val="000000"/>
      <w:spacing w:val="10"/>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1219</Words>
  <Characters>1499</Characters>
  <Lines>57</Lines>
  <Paragraphs>16</Paragraphs>
  <TotalTime>0</TotalTime>
  <ScaleCrop>false</ScaleCrop>
  <LinksUpToDate>false</LinksUpToDate>
  <CharactersWithSpaces>1517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2024-05-24T00:37:38Z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E413ABD78EAF4DD2AE3493271C476C59_13</vt:lpwstr>
  </property>
</Properties>
</file>