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jc w:val="center"/>
        <w:rPr>
          <w:rFonts w:hint="eastAsia" w:ascii="宋体" w:hAnsi="宋体" w:cs="宋体"/>
          <w:kern w:val="0"/>
          <w:sz w:val="72"/>
          <w:szCs w:val="72"/>
          <w:shd w:val="clear" w:color="auto" w:fill="FFFFFF"/>
        </w:rPr>
      </w:pPr>
      <w:r>
        <w:rPr>
          <w:rFonts w:hint="eastAsia" w:ascii="宋体" w:hAnsi="宋体" w:cs="宋体"/>
          <w:kern w:val="0"/>
          <w:sz w:val="72"/>
          <w:szCs w:val="72"/>
          <w:shd w:val="clear" w:color="auto" w:fill="FFFFFF"/>
        </w:rPr>
        <w:t>蚌埠市第一人民医院高频电刀采购项目</w:t>
      </w:r>
    </w:p>
    <w:p>
      <w:pPr>
        <w:pStyle w:val="8"/>
        <w:rPr>
          <w:rFonts w:hint="eastAsia" w:ascii="宋体" w:hAnsi="宋体" w:cs="宋体"/>
          <w:kern w:val="0"/>
          <w:sz w:val="72"/>
          <w:szCs w:val="72"/>
          <w:shd w:val="clear" w:color="auto" w:fill="FFFFFF"/>
        </w:rPr>
      </w:pPr>
    </w:p>
    <w:p>
      <w:pPr>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5"/>
        <w:ind w:firstLine="560"/>
        <w:rPr>
          <w:sz w:val="28"/>
          <w:szCs w:val="28"/>
        </w:rPr>
      </w:pPr>
    </w:p>
    <w:p>
      <w:pPr>
        <w:pStyle w:val="15"/>
        <w:ind w:left="0" w:leftChars="0" w:firstLine="1680" w:firstLineChars="600"/>
        <w:jc w:val="left"/>
        <w:rPr>
          <w:rFonts w:hint="eastAsia" w:ascii="宋体" w:hAnsi="宋体" w:cs="宋体" w:eastAsiaTheme="minorEastAsia"/>
          <w:sz w:val="28"/>
          <w:szCs w:val="28"/>
          <w:lang w:eastAsia="zh-CN"/>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一</w:t>
      </w:r>
      <w:r>
        <w:rPr>
          <w:rFonts w:hint="eastAsia" w:ascii="宋体" w:hAnsi="宋体" w:cs="宋体"/>
          <w:sz w:val="28"/>
          <w:szCs w:val="28"/>
          <w:u w:val="single"/>
        </w:rPr>
        <w:t>人民医院</w:t>
      </w:r>
    </w:p>
    <w:p>
      <w:pPr>
        <w:pStyle w:val="15"/>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12</w:t>
      </w:r>
      <w:r>
        <w:rPr>
          <w:rFonts w:hint="eastAsia" w:ascii="宋体" w:hAnsi="宋体" w:cs="宋体"/>
          <w:sz w:val="28"/>
          <w:szCs w:val="28"/>
          <w:u w:val="single"/>
        </w:rPr>
        <w:t>月</w:t>
      </w:r>
      <w:r>
        <w:rPr>
          <w:rFonts w:hint="eastAsia" w:ascii="宋体" w:hAnsi="宋体" w:cs="宋体"/>
          <w:sz w:val="28"/>
          <w:szCs w:val="28"/>
          <w:u w:val="single"/>
          <w:lang w:val="en-US" w:eastAsia="zh-CN"/>
        </w:rPr>
        <w:t>5</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5"/>
        <w:rPr>
          <w:kern w:val="0"/>
          <w:shd w:val="clear" w:color="auto" w:fill="FFFFFF"/>
        </w:rPr>
      </w:pPr>
    </w:p>
    <w:p/>
    <w:p>
      <w:pPr>
        <w:pStyle w:val="15"/>
        <w:rPr>
          <w:kern w:val="0"/>
          <w:shd w:val="clear" w:color="auto" w:fill="FFFFFF"/>
        </w:rPr>
      </w:pPr>
    </w:p>
    <w:p>
      <w:pPr>
        <w:pStyle w:val="15"/>
        <w:rPr>
          <w:kern w:val="0"/>
          <w:shd w:val="clear" w:color="auto" w:fill="FFFFFF"/>
        </w:rPr>
      </w:pPr>
    </w:p>
    <w:p>
      <w:pPr>
        <w:pStyle w:val="15"/>
        <w:rPr>
          <w:kern w:val="0"/>
          <w:shd w:val="clear" w:color="auto" w:fill="FFFFFF"/>
        </w:rPr>
      </w:pPr>
    </w:p>
    <w:p>
      <w:pPr>
        <w:pStyle w:val="15"/>
        <w:rPr>
          <w:kern w:val="0"/>
          <w:shd w:val="clear" w:color="auto" w:fill="FFFFFF"/>
        </w:rPr>
      </w:pPr>
    </w:p>
    <w:p>
      <w:pPr>
        <w:rPr>
          <w:kern w:val="0"/>
          <w:shd w:val="clear" w:color="auto" w:fill="FFFFFF"/>
        </w:rPr>
      </w:pPr>
    </w:p>
    <w:p>
      <w:pPr>
        <w:pStyle w:val="15"/>
        <w:rPr>
          <w:kern w:val="0"/>
          <w:shd w:val="clear" w:color="auto" w:fill="FFFFFF"/>
        </w:rPr>
      </w:pPr>
    </w:p>
    <w:p>
      <w:pPr>
        <w:pStyle w:val="15"/>
        <w:ind w:left="0" w:leftChars="0" w:firstLine="0" w:firstLineChars="0"/>
        <w:rPr>
          <w:kern w:val="0"/>
          <w:shd w:val="clear" w:color="auto" w:fill="FFFFFF"/>
        </w:rPr>
      </w:pPr>
    </w:p>
    <w:p>
      <w:pPr>
        <w:widowControl/>
        <w:numPr>
          <w:ilvl w:val="0"/>
          <w:numId w:val="2"/>
        </w:numPr>
        <w:snapToGrid w:val="0"/>
        <w:spacing w:line="360" w:lineRule="auto"/>
        <w:jc w:val="left"/>
        <w:rPr>
          <w:rFonts w:hint="eastAsia"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 xml:space="preserve">项目名称：蚌埠市第一人民医院高频电刀采购项目 </w:t>
      </w:r>
    </w:p>
    <w:p>
      <w:pPr>
        <w:widowControl/>
        <w:numPr>
          <w:ilvl w:val="0"/>
          <w:numId w:val="0"/>
        </w:numPr>
        <w:snapToGrid w:val="0"/>
        <w:spacing w:line="360" w:lineRule="auto"/>
        <w:jc w:val="left"/>
        <w:rPr>
          <w:rFonts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2、采购人：蚌埠市第</w:t>
      </w:r>
      <w:r>
        <w:rPr>
          <w:rFonts w:hint="eastAsia" w:ascii="宋体" w:hAnsi="宋体" w:cs="宋体"/>
          <w:color w:val="auto"/>
          <w:kern w:val="0"/>
          <w:sz w:val="24"/>
          <w:szCs w:val="24"/>
          <w:shd w:val="clear" w:color="auto" w:fill="FFFFFF"/>
          <w:lang w:val="en-US" w:eastAsia="zh-CN"/>
        </w:rPr>
        <w:t>一</w:t>
      </w:r>
      <w:r>
        <w:rPr>
          <w:rFonts w:hint="eastAsia" w:ascii="宋体" w:hAnsi="宋体" w:cs="宋体"/>
          <w:color w:val="auto"/>
          <w:kern w:val="0"/>
          <w:sz w:val="24"/>
          <w:szCs w:val="24"/>
          <w:shd w:val="clear" w:color="auto" w:fill="FFFFFF"/>
        </w:rPr>
        <w:t>人民医院</w:t>
      </w:r>
      <w:r>
        <w:rPr>
          <w:rFonts w:hint="eastAsia" w:ascii="宋体" w:hAnsi="宋体" w:cs="宋体"/>
          <w:color w:val="auto"/>
          <w:kern w:val="0"/>
          <w:sz w:val="24"/>
          <w:szCs w:val="24"/>
          <w:shd w:val="clear" w:color="auto" w:fill="FFFFFF"/>
          <w:lang w:val="en-US" w:eastAsia="zh-CN"/>
        </w:rPr>
        <w:t xml:space="preserve"> </w:t>
      </w:r>
      <w:r>
        <w:rPr>
          <w:rFonts w:hint="eastAsia" w:ascii="宋体" w:hAnsi="宋体" w:cs="宋体"/>
          <w:color w:val="auto"/>
          <w:kern w:val="0"/>
          <w:sz w:val="24"/>
          <w:szCs w:val="24"/>
          <w:shd w:val="clear" w:color="auto" w:fill="FFFFFF"/>
        </w:rPr>
        <w:t xml:space="preserve">  </w:t>
      </w:r>
    </w:p>
    <w:p>
      <w:pPr>
        <w:widowControl/>
        <w:snapToGrid w:val="0"/>
        <w:spacing w:line="360" w:lineRule="auto"/>
        <w:jc w:val="left"/>
        <w:rPr>
          <w:rFonts w:hint="default" w:ascii="宋体" w:hAnsi="宋体" w:cs="宋体" w:eastAsiaTheme="minorEastAsia"/>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rPr>
        <w:t>3、资金来源：</w:t>
      </w:r>
      <w:r>
        <w:rPr>
          <w:rFonts w:hint="eastAsia" w:ascii="宋体" w:hAnsi="宋体" w:cs="宋体"/>
          <w:color w:val="auto"/>
          <w:kern w:val="0"/>
          <w:sz w:val="24"/>
          <w:szCs w:val="24"/>
          <w:shd w:val="clear" w:color="auto" w:fill="FFFFFF"/>
          <w:lang w:val="en-US" w:eastAsia="zh-CN"/>
        </w:rPr>
        <w:t>自筹资金</w:t>
      </w:r>
    </w:p>
    <w:p>
      <w:pPr>
        <w:widowControl/>
        <w:snapToGrid w:val="0"/>
        <w:spacing w:line="360" w:lineRule="auto"/>
        <w:jc w:val="left"/>
        <w:rPr>
          <w:rFonts w:hint="eastAsia" w:ascii="宋体" w:hAnsi="宋体" w:cs="宋体" w:eastAsiaTheme="minorEastAsia"/>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rPr>
        <w:t>4、项目编号：ZCGF-BBYY-2023080</w:t>
      </w:r>
      <w:r>
        <w:rPr>
          <w:rFonts w:hint="eastAsia" w:ascii="宋体" w:hAnsi="宋体" w:cs="宋体"/>
          <w:color w:val="auto"/>
          <w:kern w:val="0"/>
          <w:sz w:val="24"/>
          <w:szCs w:val="24"/>
          <w:shd w:val="clear" w:color="auto" w:fill="FFFFFF"/>
          <w:lang w:val="en-US" w:eastAsia="zh-CN"/>
        </w:rPr>
        <w:t xml:space="preserve"> </w:t>
      </w:r>
    </w:p>
    <w:p>
      <w:pPr>
        <w:widowControl/>
        <w:numPr>
          <w:ilvl w:val="0"/>
          <w:numId w:val="0"/>
        </w:numPr>
        <w:snapToGrid w:val="0"/>
        <w:spacing w:line="360" w:lineRule="auto"/>
        <w:jc w:val="left"/>
        <w:rPr>
          <w:rFonts w:hint="eastAsia" w:ascii="宋体" w:hAnsi="宋体" w:cs="宋体"/>
          <w:color w:val="auto"/>
          <w:kern w:val="0"/>
          <w:sz w:val="24"/>
          <w:szCs w:val="24"/>
          <w:highlight w:val="none"/>
          <w:shd w:val="clear" w:color="auto" w:fill="FFFFFF"/>
        </w:rPr>
      </w:pPr>
      <w:r>
        <w:rPr>
          <w:rFonts w:hint="eastAsia" w:ascii="宋体" w:hAnsi="宋体" w:cs="宋体"/>
          <w:color w:val="auto"/>
          <w:kern w:val="0"/>
          <w:sz w:val="24"/>
          <w:szCs w:val="24"/>
          <w:highlight w:val="none"/>
          <w:shd w:val="clear" w:color="auto" w:fill="FFFFFF"/>
        </w:rPr>
        <w:t>5、主要内容：蚌埠市第一人民医院高频电刀采购项目，采购数量6台，具体采购内容详见采购需求。</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6、采购预算：30万元</w:t>
      </w:r>
    </w:p>
    <w:p>
      <w:pPr>
        <w:widowControl/>
        <w:numPr>
          <w:ilvl w:val="0"/>
          <w:numId w:val="0"/>
        </w:numPr>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7、最高限价：30万元 </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8、供货期：国产设备15天 </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9、质保期：整体质保三年 </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10、拟采用的评审方法：综合评分法；</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11、付款方式：设备安装、调试、验收合格后凭开具的正规发票及验收合格入库单付50%，三个月付40%，10%作为质保金质保期满支付。 </w:t>
      </w:r>
    </w:p>
    <w:p>
      <w:pPr>
        <w:pStyle w:val="13"/>
        <w:widowControl/>
        <w:shd w:val="clear" w:color="auto" w:fill="FFFFFF"/>
        <w:spacing w:beforeAutospacing="0" w:afterAutospacing="0" w:line="360" w:lineRule="auto"/>
        <w:rPr>
          <w:rFonts w:hint="eastAsia" w:ascii="宋体" w:hAnsi="宋体" w:cs="宋体"/>
          <w:color w:val="auto"/>
          <w:szCs w:val="24"/>
          <w:highlight w:val="none"/>
          <w:shd w:val="clear" w:color="auto" w:fill="FFFFFF"/>
        </w:rPr>
      </w:pPr>
      <w:r>
        <w:rPr>
          <w:rFonts w:hint="eastAsia" w:ascii="宋体" w:hAnsi="宋体" w:cs="宋体"/>
          <w:color w:val="auto"/>
          <w:szCs w:val="24"/>
          <w:highlight w:val="none"/>
          <w:shd w:val="clear" w:color="auto" w:fill="FFFFFF"/>
          <w:lang w:val="en-US" w:eastAsia="zh-CN"/>
        </w:rPr>
        <w:t>12</w:t>
      </w:r>
      <w:r>
        <w:rPr>
          <w:rFonts w:hint="eastAsia" w:ascii="宋体" w:hAnsi="宋体" w:cs="宋体"/>
          <w:color w:val="auto"/>
          <w:szCs w:val="24"/>
          <w:highlight w:val="none"/>
          <w:shd w:val="clear" w:color="auto" w:fill="FFFFFF"/>
        </w:rPr>
        <w:t>、申请人的资格要求：</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1.满足《中华人民共和国政府采购法》第二十二条规定；</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2.落实政府采购政策需满足的资格要求：</w:t>
      </w:r>
      <w:r>
        <w:rPr>
          <w:rFonts w:hint="eastAsia" w:ascii="宋体" w:hAnsi="宋体" w:eastAsia="宋体" w:cs="宋体"/>
          <w:color w:val="auto"/>
          <w:u w:val="single"/>
          <w:lang w:val="zh-CN" w:eastAsia="zh-CN"/>
        </w:rPr>
        <w:t>无</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3.本项目的特定资格要求：</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3.1、供应商须拥有有效的营业执照；</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3.2、供应商如为代理商须具有有效的中华人民共和国医疗器械经营许可证或备案凭证；供应商如为生产商须具有有效的中华人民共和国医疗器械生产许可证和中华人民共和国医疗器械经营许可证；（所投产品属于医疗器械的）</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3.3、投标人所投产品为一类医疗器械，须提供有效的医疗器械备案凭证；投标人所投产品为二类或三类医疗器械，须提供有效的医疗器械注册证；（所投产品属于医疗器械的）</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3.4、本项目采用资格后审，不接受联合体投标；</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3.5、投标供应商存在以下不良信用记录情形之一的，不得推荐为成交候选供应商，不得确定为成交供应商：</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①供应商被人民法院列入失信被执行人的；</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②供应商或其法定代表人或拟派项目负责人被人民检察院列入行贿犯罪档案的；</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③供应商被工商行政管理部门列入企业经营异常名录的；</w:t>
      </w:r>
    </w:p>
    <w:p>
      <w:pPr>
        <w:pStyle w:val="13"/>
        <w:widowControl/>
        <w:shd w:val="clear" w:color="auto" w:fill="FFFFFF"/>
        <w:spacing w:beforeAutospacing="0" w:afterAutospacing="0" w:line="360" w:lineRule="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④供应商被税务部门列入重大税收违法案件当事人名单的；</w:t>
      </w:r>
    </w:p>
    <w:p>
      <w:pPr>
        <w:pStyle w:val="13"/>
        <w:widowControl/>
        <w:shd w:val="clear" w:color="auto" w:fill="FFFFFF"/>
        <w:spacing w:beforeAutospacing="0" w:afterAutospacing="0" w:line="360" w:lineRule="auto"/>
        <w:rPr>
          <w:rFonts w:hint="eastAsia"/>
          <w:color w:val="auto"/>
          <w:sz w:val="44"/>
          <w:szCs w:val="44"/>
          <w:lang w:val="en-US" w:eastAsia="zh-CN"/>
        </w:rPr>
      </w:pPr>
      <w:r>
        <w:rPr>
          <w:rFonts w:hint="eastAsia" w:ascii="宋体" w:hAnsi="宋体" w:eastAsia="宋体" w:cs="宋体"/>
          <w:color w:val="auto"/>
          <w:kern w:val="0"/>
          <w:sz w:val="24"/>
          <w:szCs w:val="24"/>
          <w:lang w:val="en-US" w:eastAsia="zh-CN" w:bidi="ar-SA"/>
        </w:rPr>
        <w:t>⑤供应商被政府采购监管部门列入政府采购严重违法失信行为记录名单的。</w:t>
      </w:r>
      <w:r>
        <w:rPr>
          <w:rFonts w:hint="eastAsia"/>
          <w:color w:val="auto"/>
          <w:sz w:val="44"/>
          <w:szCs w:val="44"/>
          <w:lang w:val="en-US" w:eastAsia="zh-CN"/>
        </w:rPr>
        <w:br w:type="page"/>
      </w:r>
    </w:p>
    <w:p>
      <w:pPr>
        <w:jc w:val="center"/>
        <w:rPr>
          <w:rFonts w:hint="default" w:ascii="新宋体" w:hAnsi="新宋体" w:eastAsia="新宋体" w:cs="方正小标宋简体"/>
          <w:b/>
          <w:color w:val="auto"/>
          <w:sz w:val="32"/>
          <w:szCs w:val="36"/>
          <w:highlight w:val="none"/>
          <w:lang w:val="en-US" w:eastAsia="zh-CN"/>
        </w:rPr>
      </w:pPr>
      <w:r>
        <w:rPr>
          <w:rFonts w:hint="eastAsia" w:ascii="新宋体" w:hAnsi="新宋体" w:eastAsia="新宋体" w:cs="方正小标宋简体"/>
          <w:b/>
          <w:color w:val="auto"/>
          <w:sz w:val="32"/>
          <w:szCs w:val="36"/>
          <w:highlight w:val="none"/>
          <w:lang w:val="en-US" w:eastAsia="zh-CN"/>
        </w:rPr>
        <w:t xml:space="preserve"> 蚌埠市第一人民医院高频电刀采购项目采购需求</w:t>
      </w:r>
    </w:p>
    <w:p>
      <w:pPr>
        <w:snapToGrid w:val="0"/>
        <w:spacing w:line="276" w:lineRule="auto"/>
        <w:ind w:left="-420" w:leftChars="-200" w:firstLine="0" w:firstLineChars="0"/>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val="en-US" w:eastAsia="zh-CN"/>
        </w:rPr>
        <w:t>一、设备清单</w:t>
      </w:r>
    </w:p>
    <w:tbl>
      <w:tblPr>
        <w:tblStyle w:val="17"/>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1779"/>
        <w:gridCol w:w="2362"/>
        <w:gridCol w:w="1706"/>
        <w:gridCol w:w="1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975"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序号</w:t>
            </w:r>
          </w:p>
        </w:tc>
        <w:tc>
          <w:tcPr>
            <w:tcW w:w="1779"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设备名称</w:t>
            </w:r>
          </w:p>
        </w:tc>
        <w:tc>
          <w:tcPr>
            <w:tcW w:w="2362"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预算单价</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（万元）</w:t>
            </w:r>
          </w:p>
        </w:tc>
        <w:tc>
          <w:tcPr>
            <w:tcW w:w="1706"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数量</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（台）</w:t>
            </w:r>
          </w:p>
        </w:tc>
        <w:tc>
          <w:tcPr>
            <w:tcW w:w="1697"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总价</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75"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w:t>
            </w:r>
          </w:p>
        </w:tc>
        <w:tc>
          <w:tcPr>
            <w:tcW w:w="1779"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高频电刀</w:t>
            </w:r>
          </w:p>
        </w:tc>
        <w:tc>
          <w:tcPr>
            <w:tcW w:w="2362"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5</w:t>
            </w:r>
          </w:p>
        </w:tc>
        <w:tc>
          <w:tcPr>
            <w:tcW w:w="1706"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6</w:t>
            </w:r>
          </w:p>
        </w:tc>
        <w:tc>
          <w:tcPr>
            <w:tcW w:w="1697"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30</w:t>
            </w:r>
          </w:p>
        </w:tc>
      </w:tr>
    </w:tbl>
    <w:p>
      <w:pPr>
        <w:snapToGrid w:val="0"/>
        <w:spacing w:line="276" w:lineRule="auto"/>
        <w:rPr>
          <w:rFonts w:hint="eastAsia" w:ascii="仿宋" w:hAnsi="仿宋" w:eastAsia="仿宋" w:cs="仿宋"/>
          <w:b/>
          <w:color w:val="auto"/>
          <w:sz w:val="32"/>
          <w:szCs w:val="32"/>
          <w:lang w:val="en-US" w:eastAsia="zh-CN"/>
        </w:rPr>
      </w:pPr>
    </w:p>
    <w:p>
      <w:pPr>
        <w:snapToGrid w:val="0"/>
        <w:spacing w:line="276" w:lineRule="auto"/>
        <w:ind w:left="-420" w:leftChars="-200" w:firstLine="0" w:firstLineChars="0"/>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val="en-US" w:eastAsia="zh-CN"/>
        </w:rPr>
        <w:t>二、功能需求</w:t>
      </w:r>
    </w:p>
    <w:p>
      <w:pPr>
        <w:ind w:left="-199" w:leftChars="-95" w:firstLine="0" w:firstLineChars="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28"/>
          <w:szCs w:val="36"/>
          <w:lang w:val="en-US" w:eastAsia="zh-CN"/>
        </w:rPr>
        <w:t>1.具有单极电切、单极电凝、双极电凝等输出模式。</w:t>
      </w:r>
    </w:p>
    <w:p>
      <w:pPr>
        <w:ind w:left="-199" w:leftChars="-95" w:firstLine="0" w:firstLineChars="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28"/>
          <w:szCs w:val="36"/>
          <w:lang w:val="en-US" w:eastAsia="zh-CN"/>
        </w:rPr>
        <w:t>2.工作频率：≥512KHz。</w:t>
      </w:r>
    </w:p>
    <w:p>
      <w:pPr>
        <w:ind w:left="-199" w:leftChars="-95" w:firstLine="0" w:firstLineChars="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28"/>
          <w:szCs w:val="36"/>
          <w:lang w:val="en-US" w:eastAsia="zh-CN"/>
        </w:rPr>
        <w:t>3.最大输出功率：≥350W。</w:t>
      </w:r>
    </w:p>
    <w:p>
      <w:pPr>
        <w:ind w:left="-199" w:leftChars="-95" w:firstLine="0" w:firstLineChars="0"/>
        <w:jc w:val="both"/>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28"/>
          <w:szCs w:val="36"/>
          <w:lang w:val="en-US" w:eastAsia="zh-CN"/>
        </w:rPr>
        <w:t>✱4.单极电切具有纯切和≥2种混切模式；单极电切最大功率：≥350W。</w:t>
      </w:r>
    </w:p>
    <w:p>
      <w:pPr>
        <w:ind w:left="-199" w:leftChars="-95" w:firstLine="0" w:firstLineChars="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28"/>
          <w:szCs w:val="36"/>
          <w:lang w:val="en-US" w:eastAsia="zh-CN"/>
        </w:rPr>
        <w:t>5.具有≥2种单极电凝模式；单极电凝最大功率：≥150W。</w:t>
      </w:r>
    </w:p>
    <w:p>
      <w:pPr>
        <w:ind w:left="-199" w:leftChars="-95" w:firstLine="0" w:firstLineChars="0"/>
        <w:jc w:val="both"/>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28"/>
          <w:szCs w:val="36"/>
          <w:lang w:val="en-US" w:eastAsia="zh-CN"/>
        </w:rPr>
        <w:t>✱6.具有≥2种双极电凝模式；双极电凝最大功率：≥90W。</w:t>
      </w:r>
    </w:p>
    <w:p>
      <w:pPr>
        <w:ind w:left="-199" w:leftChars="-95" w:firstLine="0" w:firstLineChars="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28"/>
          <w:szCs w:val="36"/>
          <w:lang w:val="en-US" w:eastAsia="zh-CN"/>
        </w:rPr>
        <w:t>7.具有全悬浮输出功能。</w:t>
      </w:r>
    </w:p>
    <w:p>
      <w:pPr>
        <w:ind w:left="-199" w:leftChars="-95" w:firstLine="0" w:firstLineChars="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28"/>
          <w:szCs w:val="36"/>
          <w:lang w:val="en-US" w:eastAsia="zh-CN"/>
        </w:rPr>
        <w:t>8.具有脚控、手控等多种输出方式。</w:t>
      </w:r>
    </w:p>
    <w:p>
      <w:pPr>
        <w:ind w:left="-199" w:leftChars="-95" w:firstLine="0" w:firstLineChars="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28"/>
          <w:szCs w:val="36"/>
          <w:lang w:val="en-US" w:eastAsia="zh-CN"/>
        </w:rPr>
        <w:t>9.具有开机可调用上次所用手术模式、功率等参数的功能。</w:t>
      </w:r>
    </w:p>
    <w:p>
      <w:pPr>
        <w:ind w:left="-199" w:leftChars="-95" w:firstLine="0" w:firstLineChars="0"/>
        <w:jc w:val="both"/>
        <w:rPr>
          <w:rFonts w:hint="eastAsia" w:ascii="仿宋" w:hAnsi="仿宋" w:eastAsia="仿宋" w:cs="仿宋"/>
          <w:b w:val="0"/>
          <w:bCs w:val="0"/>
          <w:color w:val="auto"/>
          <w:sz w:val="28"/>
          <w:szCs w:val="36"/>
          <w:lang w:val="en-US" w:eastAsia="zh-CN"/>
        </w:rPr>
      </w:pPr>
      <w:r>
        <w:rPr>
          <w:rFonts w:hint="eastAsia" w:ascii="仿宋" w:hAnsi="仿宋" w:eastAsia="仿宋" w:cs="仿宋"/>
          <w:b w:val="0"/>
          <w:bCs w:val="0"/>
          <w:color w:val="auto"/>
          <w:sz w:val="28"/>
          <w:szCs w:val="36"/>
          <w:lang w:val="en-US" w:eastAsia="zh-CN"/>
        </w:rPr>
        <w:t>10.具有手术过程中，单极、双极无需转换的功能。</w:t>
      </w:r>
    </w:p>
    <w:p>
      <w:pPr>
        <w:ind w:left="-199" w:leftChars="-95" w:firstLine="0" w:firstLineChars="0"/>
        <w:jc w:val="both"/>
        <w:rPr>
          <w:rFonts w:hint="default" w:ascii="仿宋" w:hAnsi="仿宋" w:eastAsia="仿宋" w:cs="仿宋"/>
          <w:b w:val="0"/>
          <w:bCs w:val="0"/>
          <w:color w:val="auto"/>
          <w:sz w:val="28"/>
          <w:szCs w:val="36"/>
          <w:lang w:val="en-US" w:eastAsia="zh-CN"/>
        </w:rPr>
      </w:pPr>
      <w:r>
        <w:rPr>
          <w:rFonts w:hint="eastAsia" w:ascii="仿宋" w:hAnsi="仿宋" w:eastAsia="仿宋" w:cs="仿宋"/>
          <w:b w:val="0"/>
          <w:bCs w:val="0"/>
          <w:color w:val="auto"/>
          <w:sz w:val="28"/>
          <w:szCs w:val="36"/>
          <w:lang w:val="en-US" w:eastAsia="zh-CN"/>
        </w:rPr>
        <w:t>11.具有开机自动检测、自动报警等安全功能。</w:t>
      </w:r>
    </w:p>
    <w:p>
      <w:pPr>
        <w:rPr>
          <w:rFonts w:hint="eastAsia" w:ascii="新宋体" w:hAnsi="新宋体" w:eastAsia="新宋体" w:cs="方正小标宋简体"/>
          <w:b/>
          <w:color w:val="auto"/>
          <w:sz w:val="32"/>
          <w:szCs w:val="36"/>
          <w:highlight w:val="none"/>
        </w:rPr>
      </w:pPr>
      <w:r>
        <w:rPr>
          <w:rFonts w:hint="eastAsia" w:ascii="新宋体" w:hAnsi="新宋体" w:eastAsia="新宋体" w:cs="方正小标宋简体"/>
          <w:b/>
          <w:color w:val="auto"/>
          <w:sz w:val="32"/>
          <w:szCs w:val="36"/>
          <w:highlight w:val="none"/>
        </w:rPr>
        <w:br w:type="page"/>
      </w:r>
    </w:p>
    <w:p>
      <w:pPr>
        <w:jc w:val="center"/>
        <w:rPr>
          <w:rFonts w:ascii="新宋体" w:hAnsi="新宋体" w:eastAsia="新宋体" w:cs="方正小标宋简体"/>
          <w:b/>
          <w:color w:val="auto"/>
          <w:sz w:val="32"/>
          <w:szCs w:val="36"/>
          <w:highlight w:val="none"/>
        </w:rPr>
      </w:pPr>
      <w:r>
        <w:rPr>
          <w:rFonts w:hint="eastAsia" w:ascii="新宋体" w:hAnsi="新宋体" w:eastAsia="新宋体" w:cs="方正小标宋简体"/>
          <w:b/>
          <w:color w:val="auto"/>
          <w:sz w:val="32"/>
          <w:szCs w:val="36"/>
          <w:highlight w:val="none"/>
        </w:rPr>
        <w:t xml:space="preserve">蚌埠市第一人民医院高频电刀采购项目采购意向及需求公示的反馈意见 </w:t>
      </w:r>
    </w:p>
    <w:p>
      <w:pPr>
        <w:rPr>
          <w:rFonts w:ascii="宋体" w:hAnsi="宋体" w:cs="宋体"/>
          <w:color w:val="auto"/>
          <w:sz w:val="28"/>
          <w:szCs w:val="28"/>
          <w:highlight w:val="none"/>
        </w:rPr>
      </w:pPr>
      <w:r>
        <w:rPr>
          <w:rFonts w:hint="eastAsia"/>
          <w:color w:val="auto"/>
          <w:sz w:val="28"/>
          <w:szCs w:val="28"/>
          <w:highlight w:val="none"/>
          <w:lang w:val="zh-CN"/>
        </w:rPr>
        <w:t>安徽省志成建设工程咨询股份有限公司</w:t>
      </w:r>
      <w:r>
        <w:rPr>
          <w:rFonts w:hint="eastAsia" w:ascii="宋体" w:hAnsi="宋体" w:cs="宋体"/>
          <w:color w:val="auto"/>
          <w:sz w:val="28"/>
          <w:szCs w:val="28"/>
          <w:highlight w:val="none"/>
        </w:rPr>
        <w:t>：</w:t>
      </w:r>
    </w:p>
    <w:p>
      <w:pPr>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针对蚌埠市第一人民医院高频电刀采购项目</w:t>
      </w:r>
      <w:r>
        <w:rPr>
          <w:rFonts w:hint="eastAsia" w:ascii="宋体" w:hAnsi="宋体" w:cs="宋体"/>
          <w:color w:val="auto"/>
          <w:sz w:val="28"/>
          <w:szCs w:val="28"/>
          <w:highlight w:val="none"/>
          <w:lang w:val="en-US" w:eastAsia="zh-CN"/>
        </w:rPr>
        <w:t>，</w:t>
      </w:r>
      <w:r>
        <w:rPr>
          <w:rFonts w:hint="eastAsia" w:ascii="宋体" w:hAnsi="宋体" w:cs="宋体"/>
          <w:color w:val="auto"/>
          <w:sz w:val="28"/>
          <w:szCs w:val="28"/>
          <w:highlight w:val="none"/>
        </w:rPr>
        <w:t>采购意向及需求公示，我单位反馈意见如下：</w:t>
      </w:r>
    </w:p>
    <w:p>
      <w:pPr>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一、需求存在倾向性内容，建议进行修改，修改意见如下：</w:t>
      </w:r>
    </w:p>
    <w:p>
      <w:pPr>
        <w:ind w:left="555"/>
        <w:rPr>
          <w:rFonts w:ascii="宋体"/>
          <w:color w:val="auto"/>
          <w:sz w:val="28"/>
          <w:szCs w:val="28"/>
          <w:highlight w:val="none"/>
        </w:rPr>
      </w:pPr>
      <w:r>
        <w:rPr>
          <w:rFonts w:ascii="宋体" w:hAnsi="宋体" w:cs="宋体"/>
          <w:color w:val="auto"/>
          <w:sz w:val="28"/>
          <w:szCs w:val="28"/>
          <w:highlight w:val="none"/>
        </w:rPr>
        <w:t>1</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ascii="宋体" w:hAnsi="宋体" w:cs="宋体"/>
          <w:color w:val="auto"/>
          <w:sz w:val="28"/>
          <w:szCs w:val="28"/>
          <w:highlight w:val="none"/>
        </w:rPr>
        <w:t>2</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hint="eastAsia" w:ascii="宋体" w:hAnsi="宋体" w:cs="宋体"/>
          <w:color w:val="auto"/>
          <w:sz w:val="28"/>
          <w:szCs w:val="28"/>
          <w:highlight w:val="none"/>
        </w:rPr>
        <w:t>…</w:t>
      </w:r>
    </w:p>
    <w:p>
      <w:pPr>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二、技术需求存在不明确（或不完整）内容，无法报价，建议进行完善，完善意见如下：</w:t>
      </w:r>
    </w:p>
    <w:p>
      <w:pPr>
        <w:ind w:left="555"/>
        <w:rPr>
          <w:rFonts w:ascii="宋体"/>
          <w:color w:val="auto"/>
          <w:sz w:val="28"/>
          <w:szCs w:val="28"/>
          <w:highlight w:val="none"/>
        </w:rPr>
      </w:pPr>
      <w:r>
        <w:rPr>
          <w:rFonts w:ascii="宋体" w:hAnsi="宋体" w:cs="宋体"/>
          <w:color w:val="auto"/>
          <w:sz w:val="28"/>
          <w:szCs w:val="28"/>
          <w:highlight w:val="none"/>
        </w:rPr>
        <w:t>1</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ascii="宋体" w:hAnsi="宋体" w:cs="宋体"/>
          <w:color w:val="auto"/>
          <w:sz w:val="28"/>
          <w:szCs w:val="28"/>
          <w:highlight w:val="none"/>
        </w:rPr>
        <w:t>2</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hint="eastAsia" w:ascii="宋体" w:hAnsi="宋体" w:cs="宋体"/>
          <w:color w:val="auto"/>
          <w:sz w:val="28"/>
          <w:szCs w:val="28"/>
          <w:highlight w:val="none"/>
        </w:rPr>
        <w:t>…</w:t>
      </w:r>
    </w:p>
    <w:p>
      <w:pPr>
        <w:pStyle w:val="13"/>
        <w:snapToGrid w:val="0"/>
        <w:spacing w:beforeAutospacing="0" w:afterAutospacing="0" w:line="360" w:lineRule="auto"/>
        <w:outlineLvl w:val="2"/>
        <w:rPr>
          <w:rFonts w:ascii="宋体" w:hAnsi="宋体" w:cs="宋体"/>
          <w:bCs/>
          <w:color w:val="auto"/>
          <w:szCs w:val="24"/>
          <w:highlight w:val="none"/>
        </w:rPr>
      </w:pPr>
      <w:r>
        <w:rPr>
          <w:rFonts w:hint="eastAsia" w:ascii="宋体" w:hAnsi="宋体" w:cs="宋体"/>
          <w:color w:val="auto"/>
          <w:sz w:val="28"/>
          <w:szCs w:val="28"/>
          <w:highlight w:val="none"/>
        </w:rPr>
        <w:t>特此函告</w:t>
      </w:r>
    </w:p>
    <w:p>
      <w:pPr>
        <w:rPr>
          <w:rFonts w:ascii="宋体" w:hAnsi="宋体" w:eastAsia="宋体" w:cs="宋体"/>
          <w:color w:val="auto"/>
          <w:kern w:val="0"/>
          <w:sz w:val="28"/>
          <w:szCs w:val="28"/>
          <w:highlight w:val="none"/>
        </w:rPr>
      </w:pPr>
    </w:p>
    <w:p>
      <w:pPr>
        <w:rPr>
          <w:rFonts w:hint="eastAsia"/>
          <w:color w:val="auto"/>
          <w:lang w:val="en-US" w:eastAsia="zh-CN"/>
        </w:rPr>
      </w:pPr>
      <w:bookmarkStart w:id="0" w:name="_GoBack"/>
      <w:bookmarkEnd w:id="0"/>
    </w:p>
    <w:p>
      <w:pPr>
        <w:rPr>
          <w:rFonts w:ascii="宋体" w:hAnsi="宋体" w:eastAsia="宋体" w:cs="宋体"/>
          <w:color w:val="auto"/>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3"/>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79A6B715"/>
    <w:multiLevelType w:val="singleLevel"/>
    <w:tmpl w:val="79A6B71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10B006C"/>
    <w:rsid w:val="02F95C17"/>
    <w:rsid w:val="03F618F7"/>
    <w:rsid w:val="05BB0E6A"/>
    <w:rsid w:val="07884358"/>
    <w:rsid w:val="088157DD"/>
    <w:rsid w:val="0EA531C5"/>
    <w:rsid w:val="102871DA"/>
    <w:rsid w:val="134C6DF2"/>
    <w:rsid w:val="13CC35BB"/>
    <w:rsid w:val="19E1315F"/>
    <w:rsid w:val="1A4F03D7"/>
    <w:rsid w:val="1A5F0800"/>
    <w:rsid w:val="20701E96"/>
    <w:rsid w:val="207324C6"/>
    <w:rsid w:val="21580108"/>
    <w:rsid w:val="24AE53EF"/>
    <w:rsid w:val="257122AF"/>
    <w:rsid w:val="2D925870"/>
    <w:rsid w:val="312D0AC1"/>
    <w:rsid w:val="3183424E"/>
    <w:rsid w:val="39E72900"/>
    <w:rsid w:val="3A59465F"/>
    <w:rsid w:val="3BBA09A9"/>
    <w:rsid w:val="3CDD2385"/>
    <w:rsid w:val="3D3F4BEA"/>
    <w:rsid w:val="3E971897"/>
    <w:rsid w:val="41617943"/>
    <w:rsid w:val="43BA7AD7"/>
    <w:rsid w:val="442C0469"/>
    <w:rsid w:val="44C73830"/>
    <w:rsid w:val="45156B9E"/>
    <w:rsid w:val="46796E24"/>
    <w:rsid w:val="46DB1D87"/>
    <w:rsid w:val="480656EC"/>
    <w:rsid w:val="48212119"/>
    <w:rsid w:val="4B3F7A97"/>
    <w:rsid w:val="4D071309"/>
    <w:rsid w:val="4DA43E48"/>
    <w:rsid w:val="52FB7715"/>
    <w:rsid w:val="558D68E8"/>
    <w:rsid w:val="55C51B2F"/>
    <w:rsid w:val="56DD42FB"/>
    <w:rsid w:val="5C267B9A"/>
    <w:rsid w:val="5C6E4623"/>
    <w:rsid w:val="5D480901"/>
    <w:rsid w:val="5F2B5C40"/>
    <w:rsid w:val="5FF4532C"/>
    <w:rsid w:val="630E2FA0"/>
    <w:rsid w:val="63985972"/>
    <w:rsid w:val="6479387F"/>
    <w:rsid w:val="64EA6690"/>
    <w:rsid w:val="64FF6797"/>
    <w:rsid w:val="67EF7DEE"/>
    <w:rsid w:val="68ED244F"/>
    <w:rsid w:val="6D663E0B"/>
    <w:rsid w:val="6E5318EA"/>
    <w:rsid w:val="6F915E09"/>
    <w:rsid w:val="6F922F7F"/>
    <w:rsid w:val="703F64BC"/>
    <w:rsid w:val="754828ED"/>
    <w:rsid w:val="754941F9"/>
    <w:rsid w:val="75BD7996"/>
    <w:rsid w:val="76AC78FF"/>
    <w:rsid w:val="795F7F1A"/>
    <w:rsid w:val="79A46F58"/>
    <w:rsid w:val="7F7E0C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after="330" w:afterLines="0" w:line="576" w:lineRule="auto"/>
      <w:outlineLvl w:val="0"/>
    </w:pPr>
    <w:rPr>
      <w:b/>
      <w:bCs/>
      <w:kern w:val="44"/>
      <w:sz w:val="30"/>
      <w:szCs w:val="44"/>
    </w:rPr>
  </w:style>
  <w:style w:type="paragraph" w:styleId="3">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6"/>
    <w:semiHidden/>
    <w:unhideWhenUsed/>
    <w:qFormat/>
    <w:uiPriority w:val="99"/>
    <w:pPr>
      <w:jc w:val="left"/>
    </w:pPr>
  </w:style>
  <w:style w:type="paragraph" w:styleId="5">
    <w:name w:val="Body Text"/>
    <w:basedOn w:val="1"/>
    <w:next w:val="1"/>
    <w:qFormat/>
    <w:uiPriority w:val="0"/>
    <w:rPr>
      <w:rFonts w:ascii="宋体" w:hAnsi="Arial"/>
      <w:sz w:val="28"/>
    </w:rPr>
  </w:style>
  <w:style w:type="paragraph" w:styleId="6">
    <w:name w:val="Body Text Indent"/>
    <w:basedOn w:val="1"/>
    <w:next w:val="7"/>
    <w:qFormat/>
    <w:uiPriority w:val="0"/>
    <w:pPr>
      <w:ind w:left="420" w:leftChars="200"/>
    </w:pPr>
  </w:style>
  <w:style w:type="paragraph" w:styleId="7">
    <w:name w:val="envelope return"/>
    <w:basedOn w:val="1"/>
    <w:qFormat/>
    <w:uiPriority w:val="0"/>
    <w:pPr>
      <w:snapToGrid w:val="0"/>
    </w:pPr>
    <w:rPr>
      <w:rFonts w:ascii="Arial" w:hAnsi="Arial" w:cs="Arial"/>
    </w:rPr>
  </w:style>
  <w:style w:type="paragraph" w:styleId="8">
    <w:name w:val="Plain Text"/>
    <w:basedOn w:val="1"/>
    <w:next w:val="1"/>
    <w:qFormat/>
    <w:uiPriority w:val="0"/>
    <w:rPr>
      <w:rFonts w:ascii="宋体" w:hAnsi="Courier New"/>
    </w:rPr>
  </w:style>
  <w:style w:type="paragraph" w:styleId="9">
    <w:name w:val="Balloon Text"/>
    <w:basedOn w:val="1"/>
    <w:link w:val="28"/>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Normal (Web)"/>
    <w:basedOn w:val="1"/>
    <w:unhideWhenUsed/>
    <w:qFormat/>
    <w:uiPriority w:val="0"/>
    <w:pPr>
      <w:spacing w:beforeAutospacing="1" w:afterAutospacing="1"/>
      <w:jc w:val="left"/>
    </w:pPr>
    <w:rPr>
      <w:kern w:val="0"/>
      <w:sz w:val="24"/>
    </w:rPr>
  </w:style>
  <w:style w:type="paragraph" w:styleId="14">
    <w:name w:val="annotation subject"/>
    <w:basedOn w:val="4"/>
    <w:next w:val="4"/>
    <w:link w:val="27"/>
    <w:semiHidden/>
    <w:unhideWhenUsed/>
    <w:qFormat/>
    <w:uiPriority w:val="99"/>
    <w:rPr>
      <w:b/>
      <w:bCs/>
    </w:rPr>
  </w:style>
  <w:style w:type="paragraph" w:styleId="15">
    <w:name w:val="Body Text First Indent 2"/>
    <w:basedOn w:val="6"/>
    <w:next w:val="1"/>
    <w:qFormat/>
    <w:uiPriority w:val="0"/>
    <w:pPr>
      <w:ind w:firstLine="420" w:firstLineChars="200"/>
    </w:pPr>
  </w:style>
  <w:style w:type="table" w:styleId="17">
    <w:name w:val="Table Grid"/>
    <w:basedOn w:val="16"/>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annotation reference"/>
    <w:basedOn w:val="18"/>
    <w:semiHidden/>
    <w:unhideWhenUsed/>
    <w:qFormat/>
    <w:uiPriority w:val="99"/>
    <w:rPr>
      <w:sz w:val="21"/>
      <w:szCs w:val="21"/>
    </w:rPr>
  </w:style>
  <w:style w:type="paragraph" w:customStyle="1" w:styleId="21">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character" w:customStyle="1" w:styleId="22">
    <w:name w:val="页眉 Char"/>
    <w:basedOn w:val="18"/>
    <w:link w:val="11"/>
    <w:semiHidden/>
    <w:qFormat/>
    <w:uiPriority w:val="99"/>
    <w:rPr>
      <w:sz w:val="18"/>
      <w:szCs w:val="18"/>
    </w:rPr>
  </w:style>
  <w:style w:type="character" w:customStyle="1" w:styleId="23">
    <w:name w:val="页脚 Char"/>
    <w:basedOn w:val="18"/>
    <w:link w:val="10"/>
    <w:semiHidden/>
    <w:qFormat/>
    <w:uiPriority w:val="99"/>
    <w:rPr>
      <w:sz w:val="18"/>
      <w:szCs w:val="18"/>
    </w:rPr>
  </w:style>
  <w:style w:type="paragraph" w:customStyle="1" w:styleId="24">
    <w:name w:val="列出段落1"/>
    <w:basedOn w:val="1"/>
    <w:qFormat/>
    <w:uiPriority w:val="34"/>
    <w:pPr>
      <w:ind w:firstLine="420" w:firstLineChars="200"/>
    </w:pPr>
  </w:style>
  <w:style w:type="paragraph" w:styleId="25">
    <w:name w:val="List Paragraph"/>
    <w:basedOn w:val="1"/>
    <w:unhideWhenUsed/>
    <w:qFormat/>
    <w:uiPriority w:val="99"/>
    <w:pPr>
      <w:ind w:firstLine="420" w:firstLineChars="200"/>
    </w:pPr>
  </w:style>
  <w:style w:type="character" w:customStyle="1" w:styleId="26">
    <w:name w:val="批注文字 Char"/>
    <w:basedOn w:val="18"/>
    <w:link w:val="4"/>
    <w:semiHidden/>
    <w:qFormat/>
    <w:uiPriority w:val="99"/>
    <w:rPr>
      <w:kern w:val="2"/>
      <w:sz w:val="21"/>
      <w:szCs w:val="22"/>
    </w:rPr>
  </w:style>
  <w:style w:type="character" w:customStyle="1" w:styleId="27">
    <w:name w:val="批注主题 Char"/>
    <w:basedOn w:val="26"/>
    <w:link w:val="14"/>
    <w:semiHidden/>
    <w:qFormat/>
    <w:uiPriority w:val="99"/>
    <w:rPr>
      <w:b/>
      <w:bCs/>
    </w:rPr>
  </w:style>
  <w:style w:type="character" w:customStyle="1" w:styleId="28">
    <w:name w:val="批注框文本 Char"/>
    <w:basedOn w:val="18"/>
    <w:link w:val="9"/>
    <w:semiHidden/>
    <w:qFormat/>
    <w:uiPriority w:val="99"/>
    <w:rPr>
      <w:kern w:val="2"/>
      <w:sz w:val="18"/>
      <w:szCs w:val="18"/>
    </w:rPr>
  </w:style>
  <w:style w:type="paragraph" w:customStyle="1" w:styleId="29">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30">
    <w:name w:val="Normal"/>
    <w:qFormat/>
    <w:uiPriority w:val="0"/>
    <w:rPr>
      <w:rFonts w:ascii="Times New Roman" w:hAnsi="Times New Roman" w:eastAsia="Times New Roman" w:cs="Times New Roman"/>
      <w:sz w:val="24"/>
      <w:szCs w:val="24"/>
      <w:lang w:bidi="ar-SA"/>
    </w:rPr>
  </w:style>
  <w:style w:type="table" w:customStyle="1" w:styleId="31">
    <w:name w:val="Plain Table 1"/>
    <w:basedOn w:val="16"/>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2">
    <w:name w:val="正文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3">
    <w:name w:val="font51"/>
    <w:basedOn w:val="18"/>
    <w:qFormat/>
    <w:uiPriority w:val="0"/>
    <w:rPr>
      <w:rFonts w:ascii="Calibri" w:hAnsi="Calibri" w:cs="Calibri"/>
      <w:color w:val="000000"/>
      <w:sz w:val="22"/>
      <w:szCs w:val="22"/>
      <w:u w:val="none"/>
    </w:rPr>
  </w:style>
  <w:style w:type="paragraph" w:customStyle="1" w:styleId="34">
    <w:name w:val="列表段落1"/>
    <w:basedOn w:val="1"/>
    <w:qFormat/>
    <w:uiPriority w:val="34"/>
    <w:pPr>
      <w:ind w:firstLine="420" w:firstLineChars="200"/>
    </w:pPr>
    <w:rPr>
      <w:rFonts w:ascii="Calibri" w:hAnsi="Calibri"/>
      <w:szCs w:val="24"/>
    </w:rPr>
  </w:style>
  <w:style w:type="character" w:customStyle="1" w:styleId="35">
    <w:name w:val="font21"/>
    <w:basedOn w:val="18"/>
    <w:qFormat/>
    <w:uiPriority w:val="0"/>
    <w:rPr>
      <w:rFonts w:hint="eastAsia" w:ascii="宋体" w:hAnsi="宋体" w:eastAsia="宋体" w:cs="宋体"/>
      <w:color w:val="000000"/>
      <w:sz w:val="24"/>
      <w:szCs w:val="24"/>
      <w:u w:val="none"/>
    </w:rPr>
  </w:style>
  <w:style w:type="paragraph" w:customStyle="1" w:styleId="36">
    <w:name w:val="GHT-正文"/>
    <w:basedOn w:val="1"/>
    <w:qFormat/>
    <w:uiPriority w:val="0"/>
    <w:pPr>
      <w:adjustRightInd w:val="0"/>
      <w:spacing w:line="400" w:lineRule="exact"/>
      <w:ind w:firstLine="520" w:firstLineChars="200"/>
      <w:textAlignment w:val="baseline"/>
    </w:pPr>
    <w:rPr>
      <w:color w:val="000000"/>
      <w:spacing w:val="10"/>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4054</Words>
  <Characters>4320</Characters>
  <Lines>57</Lines>
  <Paragraphs>16</Paragraphs>
  <TotalTime>1</TotalTime>
  <ScaleCrop>false</ScaleCrop>
  <LinksUpToDate>false</LinksUpToDate>
  <CharactersWithSpaces>4379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2023-12-05T08:37:12Z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E413ABD78EAF4DD2AE3493271C476C59_13</vt:lpwstr>
  </property>
</Properties>
</file>