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52"/>
          <w:szCs w:val="52"/>
          <w:shd w:val="clear" w:color="auto" w:fill="FFFFFF"/>
        </w:rPr>
      </w:pPr>
      <w:r>
        <w:rPr>
          <w:rFonts w:hint="eastAsia" w:ascii="宋体" w:hAnsi="宋体" w:cs="宋体"/>
          <w:kern w:val="0"/>
          <w:sz w:val="52"/>
          <w:szCs w:val="52"/>
          <w:shd w:val="clear" w:color="auto" w:fill="FFFFFF"/>
        </w:rPr>
        <w:t>蚌埠市第二人民医院新院区污水处理站增补采购项目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6"/>
        <w:ind w:firstLine="560"/>
        <w:rPr>
          <w:sz w:val="28"/>
          <w:szCs w:val="28"/>
        </w:rPr>
      </w:pPr>
    </w:p>
    <w:p>
      <w:pPr>
        <w:pStyle w:val="16"/>
        <w:ind w:left="0" w:leftChars="0" w:firstLine="1680" w:firstLineChars="600"/>
        <w:jc w:val="left"/>
        <w:rPr>
          <w:rFonts w:hint="eastAsia" w:ascii="宋体" w:hAnsi="宋体" w:cs="宋体" w:eastAsiaTheme="minorEastAsia"/>
          <w:sz w:val="28"/>
          <w:szCs w:val="28"/>
          <w:lang w:eastAsia="zh-CN"/>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二</w:t>
      </w:r>
      <w:r>
        <w:rPr>
          <w:rFonts w:hint="eastAsia" w:ascii="宋体" w:hAnsi="宋体" w:cs="宋体"/>
          <w:sz w:val="28"/>
          <w:szCs w:val="28"/>
          <w:u w:val="single"/>
        </w:rPr>
        <w:t>人民医院</w:t>
      </w:r>
    </w:p>
    <w:p>
      <w:pPr>
        <w:pStyle w:val="16"/>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12</w:t>
      </w:r>
      <w:r>
        <w:rPr>
          <w:rFonts w:hint="eastAsia" w:ascii="宋体" w:hAnsi="宋体" w:cs="宋体"/>
          <w:sz w:val="28"/>
          <w:szCs w:val="28"/>
          <w:u w:val="single"/>
        </w:rPr>
        <w:t>月</w:t>
      </w:r>
      <w:r>
        <w:rPr>
          <w:rFonts w:hint="eastAsia" w:ascii="宋体" w:hAnsi="宋体" w:cs="宋体"/>
          <w:sz w:val="28"/>
          <w:szCs w:val="28"/>
          <w:u w:val="single"/>
          <w:lang w:val="en-US" w:eastAsia="zh-CN"/>
        </w:rPr>
        <w:t>5</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6"/>
        <w:rPr>
          <w:kern w:val="0"/>
          <w:shd w:val="clear" w:color="auto" w:fill="FFFFFF"/>
        </w:rPr>
      </w:pPr>
    </w:p>
    <w:p/>
    <w:p>
      <w:pPr>
        <w:pStyle w:val="16"/>
        <w:rPr>
          <w:kern w:val="0"/>
          <w:shd w:val="clear" w:color="auto" w:fill="FFFFFF"/>
        </w:rPr>
      </w:pPr>
    </w:p>
    <w:p>
      <w:pPr>
        <w:pStyle w:val="16"/>
        <w:rPr>
          <w:kern w:val="0"/>
          <w:shd w:val="clear" w:color="auto" w:fill="FFFFFF"/>
        </w:rPr>
      </w:pPr>
    </w:p>
    <w:p>
      <w:pPr>
        <w:pStyle w:val="16"/>
        <w:rPr>
          <w:kern w:val="0"/>
          <w:shd w:val="clear" w:color="auto" w:fill="FFFFFF"/>
        </w:rPr>
      </w:pPr>
    </w:p>
    <w:p>
      <w:pPr>
        <w:pStyle w:val="16"/>
        <w:rPr>
          <w:kern w:val="0"/>
          <w:shd w:val="clear" w:color="auto" w:fill="FFFFFF"/>
        </w:rPr>
      </w:pPr>
    </w:p>
    <w:p>
      <w:pPr>
        <w:rPr>
          <w:kern w:val="0"/>
          <w:shd w:val="clear" w:color="auto" w:fill="FFFFFF"/>
        </w:rPr>
      </w:pPr>
    </w:p>
    <w:p>
      <w:pPr>
        <w:pStyle w:val="16"/>
        <w:rPr>
          <w:kern w:val="0"/>
          <w:shd w:val="clear" w:color="auto" w:fill="FFFFFF"/>
        </w:rPr>
      </w:pPr>
    </w:p>
    <w:p>
      <w:pPr>
        <w:pStyle w:val="16"/>
        <w:ind w:left="0" w:leftChars="0" w:firstLine="0" w:firstLineChars="0"/>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项目名称：蚌埠市第二人民医院新院区污水处理站增补采购项目 </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二</w:t>
      </w:r>
      <w:r>
        <w:rPr>
          <w:rFonts w:hint="eastAsia" w:ascii="宋体" w:hAnsi="宋体" w:cs="宋体"/>
          <w:kern w:val="0"/>
          <w:sz w:val="24"/>
          <w:szCs w:val="24"/>
          <w:shd w:val="clear" w:color="auto" w:fill="FFFFFF"/>
        </w:rPr>
        <w:t>人民医院</w:t>
      </w:r>
      <w:r>
        <w:rPr>
          <w:rFonts w:hint="eastAsia" w:ascii="宋体" w:hAnsi="宋体" w:cs="宋体"/>
          <w:kern w:val="0"/>
          <w:sz w:val="24"/>
          <w:szCs w:val="24"/>
          <w:shd w:val="clear" w:color="auto" w:fill="FFFFFF"/>
          <w:lang w:val="en-US" w:eastAsia="zh-CN"/>
        </w:rPr>
        <w:t xml:space="preserve"> </w:t>
      </w:r>
      <w:r>
        <w:rPr>
          <w:rFonts w:hint="eastAsia" w:ascii="宋体" w:hAnsi="宋体" w:cs="宋体"/>
          <w:kern w:val="0"/>
          <w:sz w:val="24"/>
          <w:szCs w:val="24"/>
          <w:shd w:val="clear" w:color="auto" w:fill="FFFFFF"/>
        </w:rPr>
        <w:t xml:space="preserve">  </w:t>
      </w:r>
    </w:p>
    <w:p>
      <w:pPr>
        <w:widowControl/>
        <w:snapToGrid w:val="0"/>
        <w:spacing w:line="360" w:lineRule="auto"/>
        <w:jc w:val="left"/>
        <w:rPr>
          <w:rFonts w:hint="eastAsia" w:ascii="宋体" w:hAnsi="宋体" w:cs="宋体" w:eastAsiaTheme="minorEastAsia"/>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3</w:t>
      </w:r>
      <w:r>
        <w:rPr>
          <w:rFonts w:hint="eastAsia" w:ascii="宋体" w:hAnsi="宋体" w:cs="宋体"/>
          <w:color w:val="auto"/>
          <w:kern w:val="0"/>
          <w:sz w:val="24"/>
          <w:szCs w:val="24"/>
          <w:shd w:val="clear" w:color="auto" w:fill="FFFFFF"/>
        </w:rPr>
        <w:t xml:space="preserve">、项目编号：ZCGF-BBEY-2023078 </w:t>
      </w:r>
      <w:r>
        <w:rPr>
          <w:rFonts w:hint="eastAsia" w:ascii="宋体" w:hAnsi="宋体" w:cs="宋体"/>
          <w:color w:val="auto"/>
          <w:kern w:val="0"/>
          <w:sz w:val="24"/>
          <w:szCs w:val="24"/>
          <w:shd w:val="clear" w:color="auto" w:fill="FFFFFF"/>
          <w:lang w:val="en-US" w:eastAsia="zh-CN"/>
        </w:rPr>
        <w:t xml:space="preserve"> </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rPr>
      </w:pPr>
      <w:r>
        <w:rPr>
          <w:rFonts w:hint="eastAsia" w:ascii="宋体" w:hAnsi="宋体" w:cs="宋体"/>
          <w:color w:val="auto"/>
          <w:kern w:val="0"/>
          <w:sz w:val="24"/>
          <w:szCs w:val="24"/>
          <w:highlight w:val="none"/>
          <w:shd w:val="clear" w:color="auto" w:fill="FFFFFF"/>
          <w:lang w:val="en-US" w:eastAsia="zh-CN"/>
        </w:rPr>
        <w:t>4</w:t>
      </w:r>
      <w:r>
        <w:rPr>
          <w:rFonts w:hint="eastAsia" w:ascii="宋体" w:hAnsi="宋体" w:cs="宋体"/>
          <w:color w:val="auto"/>
          <w:kern w:val="0"/>
          <w:sz w:val="24"/>
          <w:szCs w:val="24"/>
          <w:highlight w:val="none"/>
          <w:shd w:val="clear" w:color="auto" w:fill="FFFFFF"/>
        </w:rPr>
        <w:t>、主要内容：蚌埠市第二人民医院新院区污水处理站增补采购项目</w:t>
      </w:r>
      <w:r>
        <w:rPr>
          <w:rFonts w:hint="eastAsia" w:ascii="宋体" w:hAnsi="宋体" w:cs="宋体"/>
          <w:color w:val="auto"/>
          <w:kern w:val="0"/>
          <w:sz w:val="24"/>
          <w:szCs w:val="24"/>
          <w:highlight w:val="none"/>
          <w:shd w:val="clear" w:color="auto" w:fill="FFFFFF"/>
          <w:lang w:eastAsia="zh-CN"/>
        </w:rPr>
        <w:t>，</w:t>
      </w:r>
      <w:r>
        <w:rPr>
          <w:rFonts w:hint="eastAsia" w:ascii="宋体" w:hAnsi="宋体" w:cs="宋体"/>
          <w:color w:val="auto"/>
          <w:kern w:val="0"/>
          <w:sz w:val="24"/>
          <w:szCs w:val="24"/>
          <w:highlight w:val="none"/>
          <w:shd w:val="clear" w:color="auto" w:fill="FFFFFF"/>
          <w:lang w:val="en-US" w:eastAsia="zh-CN"/>
        </w:rPr>
        <w:t>包括但不限于工程的土建、安装、垃圾清运，并通过环保部门验收</w:t>
      </w:r>
      <w:r>
        <w:rPr>
          <w:rFonts w:hint="eastAsia" w:ascii="宋体" w:hAnsi="宋体" w:cs="宋体"/>
          <w:color w:val="auto"/>
          <w:kern w:val="0"/>
          <w:sz w:val="24"/>
          <w:szCs w:val="24"/>
          <w:highlight w:val="none"/>
          <w:shd w:val="clear" w:color="auto" w:fill="FFFFFF"/>
        </w:rPr>
        <w:t>。具体</w:t>
      </w:r>
      <w:r>
        <w:rPr>
          <w:rFonts w:hint="eastAsia" w:ascii="宋体" w:hAnsi="宋体" w:cs="宋体"/>
          <w:color w:val="auto"/>
          <w:kern w:val="0"/>
          <w:sz w:val="24"/>
          <w:szCs w:val="24"/>
          <w:shd w:val="clear" w:color="auto" w:fill="FFFFFF"/>
        </w:rPr>
        <w:t>详见采购需求和施工图纸。</w:t>
      </w:r>
      <w:r>
        <w:rPr>
          <w:rFonts w:hint="eastAsia" w:ascii="宋体" w:hAnsi="宋体" w:cs="宋体"/>
          <w:color w:val="auto"/>
          <w:kern w:val="0"/>
          <w:sz w:val="24"/>
          <w:szCs w:val="24"/>
          <w:shd w:val="clear" w:color="auto" w:fill="FFFFFF"/>
          <w:lang w:val="en-US" w:eastAsia="zh-CN"/>
        </w:rPr>
        <w:t xml:space="preserve">  </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5、采购预算：428304.53元</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6、最高限价：40万元 </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7、工期（含工程和设备）：45天</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8、质保期：3年</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9、拟采用的评审方法：综合评分法；</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10、付款方式：工程验收合格付100%，投标保证金（项目中标价的2.5%） 验收合格转为质保金（交医院财务科），质保期结束无息退还。</w:t>
      </w:r>
    </w:p>
    <w:p>
      <w:pPr>
        <w:pStyle w:val="14"/>
        <w:widowControl/>
        <w:shd w:val="clear" w:color="auto" w:fill="FFFFFF"/>
        <w:spacing w:beforeAutospacing="0" w:afterAutospacing="0" w:line="360" w:lineRule="auto"/>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lang w:val="en-US" w:eastAsia="zh-CN"/>
        </w:rPr>
        <w:t>11</w:t>
      </w:r>
      <w:bookmarkStart w:id="0" w:name="_GoBack"/>
      <w:bookmarkEnd w:id="0"/>
      <w:r>
        <w:rPr>
          <w:rFonts w:hint="eastAsia" w:ascii="宋体" w:hAnsi="宋体" w:cs="宋体"/>
          <w:color w:val="auto"/>
          <w:szCs w:val="24"/>
          <w:highlight w:val="none"/>
          <w:shd w:val="clear" w:color="auto" w:fill="FFFFFF"/>
        </w:rPr>
        <w:t>、申请人的资格要求：</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1.满足《中华人民共和国政府采购法》第二十二条规定；</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2.落实政府采购政策需满足的资格要求：</w:t>
      </w:r>
      <w:r>
        <w:rPr>
          <w:rFonts w:hint="eastAsia" w:ascii="宋体" w:hAnsi="宋体" w:eastAsia="宋体" w:cs="宋体"/>
          <w:color w:val="auto"/>
          <w:u w:val="single"/>
          <w:lang w:val="zh-CN" w:eastAsia="zh-CN"/>
        </w:rPr>
        <w:t>无</w:t>
      </w:r>
    </w:p>
    <w:p>
      <w:pPr>
        <w:pStyle w:val="30"/>
        <w:spacing w:line="360" w:lineRule="auto"/>
        <w:jc w:val="both"/>
        <w:rPr>
          <w:rFonts w:hint="eastAsia" w:ascii="宋体" w:hAnsi="宋体" w:eastAsia="宋体" w:cs="宋体"/>
          <w:color w:val="auto"/>
          <w:lang w:val="zh-CN" w:eastAsia="zh-CN"/>
        </w:rPr>
      </w:pPr>
      <w:r>
        <w:rPr>
          <w:rFonts w:hint="eastAsia" w:ascii="宋体" w:hAnsi="宋体" w:eastAsia="宋体" w:cs="宋体"/>
          <w:color w:val="auto"/>
          <w:lang w:val="zh-CN" w:eastAsia="zh-CN"/>
        </w:rPr>
        <w:t>3.本项目的特定资格要求：</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1、供应商具有独立法人资格以及相应的经营范围；</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2、供应商具有市政公用工程施工总承包叁级及以上资质；建筑工程施工总承包叁级以上；施工劳务不分等级；具有有效的安全生产许可证。</w:t>
      </w:r>
    </w:p>
    <w:p>
      <w:pPr>
        <w:widowControl/>
        <w:numPr>
          <w:ilvl w:val="0"/>
          <w:numId w:val="0"/>
        </w:numPr>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3、供应商拟任项目负责人具有中级及以上工程师职称证书。</w:t>
      </w:r>
    </w:p>
    <w:p>
      <w:pPr>
        <w:pStyle w:val="14"/>
        <w:widowControl/>
        <w:shd w:val="clear" w:color="auto" w:fill="FFFFFF"/>
        <w:spacing w:beforeAutospacing="0" w:afterAutospacing="0" w:line="360" w:lineRule="auto"/>
        <w:rPr>
          <w:rFonts w:hint="eastAsia"/>
          <w:color w:val="auto"/>
          <w:sz w:val="44"/>
          <w:szCs w:val="44"/>
          <w:lang w:val="en-US" w:eastAsia="zh-CN"/>
        </w:rPr>
      </w:pPr>
      <w:r>
        <w:rPr>
          <w:rFonts w:hint="eastAsia" w:ascii="宋体" w:hAnsi="宋体" w:cs="宋体"/>
          <w:color w:val="auto"/>
          <w:szCs w:val="24"/>
          <w:highlight w:val="none"/>
          <w:shd w:val="clear" w:color="auto" w:fill="FFFFFF"/>
          <w:lang w:val="en-US" w:eastAsia="zh-CN"/>
        </w:rPr>
        <w:t>4、本项目不接受联合体投标。</w:t>
      </w:r>
      <w:r>
        <w:rPr>
          <w:rFonts w:hint="eastAsia"/>
          <w:color w:val="auto"/>
          <w:sz w:val="44"/>
          <w:szCs w:val="44"/>
          <w:lang w:val="en-US" w:eastAsia="zh-CN"/>
        </w:rPr>
        <w:br w:type="page"/>
      </w:r>
    </w:p>
    <w:p>
      <w:pPr>
        <w:jc w:val="center"/>
        <w:rPr>
          <w:rFonts w:hint="eastAsia" w:ascii="新宋体" w:hAnsi="新宋体" w:eastAsia="新宋体" w:cs="方正小标宋简体"/>
          <w:b/>
          <w:color w:val="auto"/>
          <w:sz w:val="32"/>
          <w:szCs w:val="36"/>
          <w:highlight w:val="none"/>
          <w:lang w:val="en-US" w:eastAsia="zh-CN"/>
        </w:rPr>
      </w:pPr>
      <w:r>
        <w:rPr>
          <w:rFonts w:hint="eastAsia" w:ascii="新宋体" w:hAnsi="新宋体" w:eastAsia="新宋体" w:cs="方正小标宋简体"/>
          <w:b/>
          <w:color w:val="auto"/>
          <w:sz w:val="32"/>
          <w:szCs w:val="36"/>
          <w:highlight w:val="none"/>
          <w:lang w:val="en-US" w:eastAsia="zh-CN"/>
        </w:rPr>
        <w:t>蚌埠市第二人民医院新院区污水处理站增补采购项目</w:t>
      </w:r>
    </w:p>
    <w:p>
      <w:pPr>
        <w:jc w:val="center"/>
        <w:rPr>
          <w:rFonts w:hint="default" w:ascii="新宋体" w:hAnsi="新宋体" w:eastAsia="新宋体" w:cs="方正小标宋简体"/>
          <w:b/>
          <w:color w:val="auto"/>
          <w:sz w:val="32"/>
          <w:szCs w:val="36"/>
          <w:highlight w:val="none"/>
          <w:lang w:val="en-US" w:eastAsia="zh-CN"/>
        </w:rPr>
      </w:pPr>
      <w:r>
        <w:rPr>
          <w:rFonts w:hint="eastAsia" w:ascii="新宋体" w:hAnsi="新宋体" w:eastAsia="新宋体" w:cs="方正小标宋简体"/>
          <w:b/>
          <w:color w:val="auto"/>
          <w:sz w:val="32"/>
          <w:szCs w:val="36"/>
          <w:highlight w:val="none"/>
          <w:lang w:val="en-US" w:eastAsia="zh-CN"/>
        </w:rPr>
        <w:t>采购需求</w:t>
      </w:r>
    </w:p>
    <w:tbl>
      <w:tblPr>
        <w:tblStyle w:val="17"/>
        <w:tblW w:w="10717" w:type="dxa"/>
        <w:jc w:val="center"/>
        <w:tblLayout w:type="fixed"/>
        <w:tblCellMar>
          <w:top w:w="0" w:type="dxa"/>
          <w:left w:w="108" w:type="dxa"/>
          <w:bottom w:w="0" w:type="dxa"/>
          <w:right w:w="108" w:type="dxa"/>
        </w:tblCellMar>
      </w:tblPr>
      <w:tblGrid>
        <w:gridCol w:w="613"/>
        <w:gridCol w:w="1682"/>
        <w:gridCol w:w="1561"/>
        <w:gridCol w:w="750"/>
        <w:gridCol w:w="831"/>
        <w:gridCol w:w="1434"/>
        <w:gridCol w:w="1282"/>
        <w:gridCol w:w="1371"/>
        <w:gridCol w:w="1193"/>
      </w:tblGrid>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序号</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名称</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设备位置</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数量</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单位</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型号</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单价（元）</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小计（元）</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备注</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1</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开挖修建巴氏槽</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座</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按图纸要求</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4160.00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4160.00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2</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不锈钢4#巴氏槽</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按图纸要求</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4650.00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4650.00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3</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巴氏槽内满铺瓷砖</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项</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按图纸要求</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2850.00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2850.00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4</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玻璃钢格栅板</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6</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按图纸要求</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520.00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3120.00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5</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1.2米高不锈钢护栏</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10</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米</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4"/>
                <w:szCs w:val="24"/>
              </w:rPr>
              <w:t>按图纸要求</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480.00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4800.00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sz w:val="24"/>
                <w:szCs w:val="24"/>
              </w:rPr>
              <w:t>6</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空调</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值班室</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台</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2.5P</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2"/>
                <w:szCs w:val="22"/>
              </w:rPr>
              <w:t xml:space="preserve">2980.00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2"/>
                <w:szCs w:val="22"/>
              </w:rPr>
              <w:t xml:space="preserve">2980.00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4"/>
                <w:szCs w:val="24"/>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sz w:val="24"/>
                <w:szCs w:val="24"/>
              </w:rPr>
              <w:t>7</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空调</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在线房</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台</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2.5P</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2980.00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2980.00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环保要求</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8</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洗手盆</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在线房</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个</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 xml:space="preserve"> 不锈钢</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1150.00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4"/>
                <w:szCs w:val="24"/>
              </w:rPr>
            </w:pPr>
            <w:r>
              <w:rPr>
                <w:rFonts w:hint="eastAsia" w:ascii="宋体" w:hAnsi="宋体" w:cs="宋体"/>
                <w:color w:val="auto"/>
                <w:kern w:val="0"/>
                <w:sz w:val="22"/>
                <w:szCs w:val="22"/>
              </w:rPr>
              <w:t xml:space="preserve">1150.00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4"/>
                <w:szCs w:val="24"/>
              </w:rPr>
            </w:pPr>
            <w:r>
              <w:rPr>
                <w:rFonts w:hint="eastAsia" w:ascii="宋体" w:hAnsi="宋体" w:cs="宋体"/>
                <w:color w:val="auto"/>
                <w:kern w:val="0"/>
                <w:sz w:val="24"/>
                <w:szCs w:val="24"/>
              </w:rPr>
              <w:t>环保要求</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通风换气扇</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在线房</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台</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总功率220W</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370.00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370.00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环保要求</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10</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瓷砖</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在线房、值班室</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白色防滑瓷砖、四周做黑色瓷砖踢脚线</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20860.00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20860.00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环保要求</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11</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水质自动采样仪</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在线房</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台</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DEK-1302型</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37850.00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37850.00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环保要求</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12</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洗手盆配洗眼器</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加药间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不锈钢304材质</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2120.00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2120.00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54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13</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通风除湿系统</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地下室每个房间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最大除湿量192L/D(30℃-RH80%)，使用功率2.6kw，最大功率3.4kw</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5946.00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11892.00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含配套管道</w:t>
            </w:r>
          </w:p>
        </w:tc>
      </w:tr>
      <w:tr>
        <w:tblPrEx>
          <w:tblCellMar>
            <w:top w:w="0" w:type="dxa"/>
            <w:left w:w="108" w:type="dxa"/>
            <w:bottom w:w="0" w:type="dxa"/>
            <w:right w:w="108" w:type="dxa"/>
          </w:tblCellMar>
        </w:tblPrEx>
        <w:trPr>
          <w:trHeight w:val="362"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14</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照明灯</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中水过滤间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3</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台</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LED防水  功率400W</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150.00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450.00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15</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换气扇</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中控室</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台</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总功率220W</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330.00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330.00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环保要求</w:t>
            </w:r>
          </w:p>
        </w:tc>
      </w:tr>
      <w:tr>
        <w:tblPrEx>
          <w:tblCellMar>
            <w:top w:w="0" w:type="dxa"/>
            <w:left w:w="108" w:type="dxa"/>
            <w:bottom w:w="0" w:type="dxa"/>
            <w:right w:w="108" w:type="dxa"/>
          </w:tblCellMar>
        </w:tblPrEx>
        <w:trPr>
          <w:trHeight w:val="27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16</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污水站防雨棚</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污水站</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透明彩钢瓦材质，钢结构架</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59358.00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59358.00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防止室外设备被雨水腐蚀</w:t>
            </w:r>
          </w:p>
        </w:tc>
      </w:tr>
      <w:tr>
        <w:tblPrEx>
          <w:tblCellMar>
            <w:top w:w="0" w:type="dxa"/>
            <w:left w:w="108" w:type="dxa"/>
            <w:bottom w:w="0" w:type="dxa"/>
            <w:right w:w="108" w:type="dxa"/>
          </w:tblCellMar>
        </w:tblPrEx>
        <w:trPr>
          <w:trHeight w:val="54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17</w:t>
            </w:r>
          </w:p>
        </w:tc>
        <w:tc>
          <w:tcPr>
            <w:tcW w:w="16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污水站围墙和护栏、瓷砖、大门及配套设备</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污水站</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方管围栏、铁艺大门</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131139.00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131139.00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配大门上锁，防止外来人员掉入污水池，以及被设备绞入</w:t>
            </w:r>
          </w:p>
        </w:tc>
      </w:tr>
      <w:tr>
        <w:tblPrEx>
          <w:tblCellMar>
            <w:top w:w="0" w:type="dxa"/>
            <w:left w:w="108" w:type="dxa"/>
            <w:bottom w:w="0" w:type="dxa"/>
            <w:right w:w="108" w:type="dxa"/>
          </w:tblCellMar>
        </w:tblPrEx>
        <w:trPr>
          <w:trHeight w:val="44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18</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废气检测口阀门</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地下室中水过滤间</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不锈钢</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6350.00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6350.00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第三方废气检测用</w:t>
            </w:r>
          </w:p>
        </w:tc>
      </w:tr>
      <w:tr>
        <w:tblPrEx>
          <w:tblCellMar>
            <w:top w:w="0" w:type="dxa"/>
            <w:left w:w="108" w:type="dxa"/>
            <w:bottom w:w="0" w:type="dxa"/>
            <w:right w:w="108" w:type="dxa"/>
          </w:tblCellMar>
        </w:tblPrEx>
        <w:trPr>
          <w:trHeight w:val="440"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19</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静压式液位计</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24VDC/输出4-20MA，485通讯，防护等级IP68，线长10米</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xml:space="preserve">950.00 </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 xml:space="preserve">950.00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1097"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20</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砼道路</w:t>
            </w:r>
          </w:p>
        </w:tc>
        <w:tc>
          <w:tcPr>
            <w:tcW w:w="314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numPr>
                <w:ilvl w:val="0"/>
                <w:numId w:val="3"/>
              </w:numPr>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尺寸：L24*W3.8米厚12公分；</w:t>
            </w:r>
          </w:p>
          <w:p>
            <w:pPr>
              <w:widowControl/>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2、尺寸：L7*W3.8米厚12公分;</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包含：水泥、沙石、挖土等</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42100.00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42100.00</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977"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21</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水管</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￠80、￠120</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套</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PVC</w:t>
            </w: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24958.00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24958.00</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977"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设备小计</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kern w:val="0"/>
                <w:szCs w:val="21"/>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365417.00</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977"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22</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税点</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kern w:val="0"/>
                <w:szCs w:val="21"/>
              </w:rPr>
              <w:t>增值税专用发票9%</w:t>
            </w: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32887.53</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977"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23</w:t>
            </w: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预留金</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30000.00</w:t>
            </w: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30000.00</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108" w:type="dxa"/>
            <w:bottom w:w="0" w:type="dxa"/>
            <w:right w:w="108" w:type="dxa"/>
          </w:tblCellMar>
        </w:tblPrEx>
        <w:trPr>
          <w:trHeight w:val="723" w:hRule="atLeast"/>
          <w:jc w:val="center"/>
        </w:trPr>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合计</w:t>
            </w:r>
          </w:p>
        </w:tc>
        <w:tc>
          <w:tcPr>
            <w:tcW w:w="15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themeColor="text1"/>
                <w:kern w:val="0"/>
                <w:sz w:val="24"/>
                <w:szCs w:val="24"/>
                <w14:textFill>
                  <w14:solidFill>
                    <w14:schemeClr w14:val="tx1"/>
                  </w14:solidFill>
                </w14:textFill>
              </w:rPr>
            </w:pPr>
          </w:p>
        </w:tc>
        <w:tc>
          <w:tcPr>
            <w:tcW w:w="13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FF0000"/>
                <w:kern w:val="0"/>
                <w:sz w:val="24"/>
                <w:szCs w:val="24"/>
              </w:rPr>
              <w:t>428304.53</w:t>
            </w:r>
            <w:r>
              <w:rPr>
                <w:rFonts w:hint="eastAsia" w:ascii="宋体" w:hAnsi="宋体" w:cs="宋体"/>
                <w:color w:val="FF0000"/>
                <w:kern w:val="0"/>
                <w:sz w:val="22"/>
                <w:szCs w:val="22"/>
              </w:rPr>
              <w:t xml:space="preserve"> </w:t>
            </w:r>
          </w:p>
        </w:tc>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p>
        </w:tc>
      </w:tr>
    </w:tbl>
    <w:p>
      <w:pPr>
        <w:rPr>
          <w:rFonts w:hint="eastAsia" w:ascii="新宋体" w:hAnsi="新宋体" w:eastAsia="新宋体" w:cs="方正小标宋简体"/>
          <w:b/>
          <w:sz w:val="32"/>
          <w:szCs w:val="36"/>
          <w:highlight w:val="none"/>
          <w:lang w:val="en-US" w:eastAsia="zh-CN"/>
        </w:rPr>
      </w:pPr>
      <w:r>
        <w:rPr>
          <w:rFonts w:hint="eastAsia" w:ascii="新宋体" w:hAnsi="新宋体" w:eastAsia="新宋体" w:cs="方正小标宋简体"/>
          <w:b/>
          <w:sz w:val="32"/>
          <w:szCs w:val="36"/>
          <w:highlight w:val="none"/>
          <w:lang w:val="en-US" w:eastAsia="zh-CN"/>
        </w:rPr>
        <w:t>其他详见图纸，按图纸要求施工。</w:t>
      </w:r>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lang w:val="en-US" w:eastAsia="zh-CN"/>
        </w:rPr>
        <w:t>混凝土路面、水槽本次含税价（不支付管理费）</w:t>
      </w:r>
      <w:r>
        <w:rPr>
          <w:rFonts w:hint="eastAsia" w:ascii="新宋体" w:hAnsi="新宋体" w:eastAsia="新宋体" w:cs="方正小标宋简体"/>
          <w:b/>
          <w:sz w:val="32"/>
          <w:szCs w:val="36"/>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蚌埠市第二人民医院新院区污水处理站增补采购项目采购意向及需求公示的反馈意见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针对蚌埠市第二人民医院新院区污水处理站增补采购项目</w:t>
      </w:r>
      <w:r>
        <w:rPr>
          <w:rFonts w:hint="eastAsia" w:ascii="宋体" w:hAnsi="宋体" w:cs="宋体"/>
          <w:sz w:val="28"/>
          <w:szCs w:val="28"/>
          <w:highlight w:val="none"/>
          <w:lang w:val="en-US" w:eastAsia="zh-CN"/>
        </w:rPr>
        <w:t>，</w:t>
      </w:r>
      <w:r>
        <w:rPr>
          <w:rFonts w:hint="eastAsia" w:ascii="宋体" w:hAnsi="宋体" w:cs="宋体"/>
          <w:sz w:val="28"/>
          <w:szCs w:val="28"/>
          <w:highlight w:val="none"/>
        </w:rPr>
        <w:t>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4"/>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p>
      <w:pPr>
        <w:rPr>
          <w:rFonts w:ascii="宋体" w:hAnsi="宋体" w:eastAsia="宋体" w:cs="宋体"/>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4"/>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5E6DEF8B"/>
    <w:multiLevelType w:val="singleLevel"/>
    <w:tmpl w:val="5E6DEF8B"/>
    <w:lvl w:ilvl="0" w:tentative="0">
      <w:start w:val="1"/>
      <w:numFmt w:val="decimal"/>
      <w:suff w:val="nothing"/>
      <w:lvlText w:val="%1、"/>
      <w:lvlJc w:val="left"/>
    </w:lvl>
  </w:abstractNum>
  <w:abstractNum w:abstractNumId="2">
    <w:nsid w:val="79A6B715"/>
    <w:multiLevelType w:val="singleLevel"/>
    <w:tmpl w:val="79A6B71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10B006C"/>
    <w:rsid w:val="02F95C17"/>
    <w:rsid w:val="03F618F7"/>
    <w:rsid w:val="05BB0E6A"/>
    <w:rsid w:val="07884358"/>
    <w:rsid w:val="088157DD"/>
    <w:rsid w:val="0EA531C5"/>
    <w:rsid w:val="102871DA"/>
    <w:rsid w:val="134C6DF2"/>
    <w:rsid w:val="13CC35BB"/>
    <w:rsid w:val="19E1315F"/>
    <w:rsid w:val="1A4F03D7"/>
    <w:rsid w:val="1A5F0800"/>
    <w:rsid w:val="20701E96"/>
    <w:rsid w:val="207324C6"/>
    <w:rsid w:val="21580108"/>
    <w:rsid w:val="24AE53EF"/>
    <w:rsid w:val="257122AF"/>
    <w:rsid w:val="2D925870"/>
    <w:rsid w:val="312D0AC1"/>
    <w:rsid w:val="3183424E"/>
    <w:rsid w:val="39E72900"/>
    <w:rsid w:val="3A59465F"/>
    <w:rsid w:val="3BBA09A9"/>
    <w:rsid w:val="3CDD2385"/>
    <w:rsid w:val="3D3F4BEA"/>
    <w:rsid w:val="3E971897"/>
    <w:rsid w:val="41617943"/>
    <w:rsid w:val="442C0469"/>
    <w:rsid w:val="44C73830"/>
    <w:rsid w:val="45156B9E"/>
    <w:rsid w:val="46796E24"/>
    <w:rsid w:val="46DB1D87"/>
    <w:rsid w:val="480656EC"/>
    <w:rsid w:val="48212119"/>
    <w:rsid w:val="4B3F7A97"/>
    <w:rsid w:val="4D071309"/>
    <w:rsid w:val="52FB7715"/>
    <w:rsid w:val="558D68E8"/>
    <w:rsid w:val="55C51B2F"/>
    <w:rsid w:val="56DD42FB"/>
    <w:rsid w:val="5C267B9A"/>
    <w:rsid w:val="5C6E4623"/>
    <w:rsid w:val="5D480901"/>
    <w:rsid w:val="5F2B5C40"/>
    <w:rsid w:val="5FF4532C"/>
    <w:rsid w:val="630E2FA0"/>
    <w:rsid w:val="63985972"/>
    <w:rsid w:val="6479387F"/>
    <w:rsid w:val="64EA6690"/>
    <w:rsid w:val="64FF6797"/>
    <w:rsid w:val="67EF7DEE"/>
    <w:rsid w:val="68ED244F"/>
    <w:rsid w:val="6BB708EA"/>
    <w:rsid w:val="6D663E0B"/>
    <w:rsid w:val="6E5318EA"/>
    <w:rsid w:val="6F915E09"/>
    <w:rsid w:val="6F922F7F"/>
    <w:rsid w:val="703F64BC"/>
    <w:rsid w:val="754828ED"/>
    <w:rsid w:val="754941F9"/>
    <w:rsid w:val="75BD7996"/>
    <w:rsid w:val="76AC78FF"/>
    <w:rsid w:val="795F7F1A"/>
    <w:rsid w:val="79A46F58"/>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4">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rPr>
  </w:style>
  <w:style w:type="paragraph" w:styleId="5">
    <w:name w:val="annotation text"/>
    <w:basedOn w:val="1"/>
    <w:link w:val="26"/>
    <w:semiHidden/>
    <w:unhideWhenUsed/>
    <w:qFormat/>
    <w:uiPriority w:val="99"/>
    <w:pPr>
      <w:jc w:val="left"/>
    </w:pPr>
  </w:style>
  <w:style w:type="paragraph" w:styleId="6">
    <w:name w:val="Body Text"/>
    <w:basedOn w:val="1"/>
    <w:next w:val="7"/>
    <w:qFormat/>
    <w:uiPriority w:val="0"/>
    <w:rPr>
      <w:rFonts w:ascii="宋体" w:hAnsi="Arial"/>
      <w:sz w:val="28"/>
    </w:rPr>
  </w:style>
  <w:style w:type="paragraph" w:customStyle="1" w:styleId="7">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8">
    <w:name w:val="Body Text Indent"/>
    <w:basedOn w:val="1"/>
    <w:next w:val="9"/>
    <w:qFormat/>
    <w:uiPriority w:val="0"/>
    <w:pPr>
      <w:ind w:left="420" w:leftChars="200"/>
    </w:pPr>
  </w:style>
  <w:style w:type="paragraph" w:styleId="9">
    <w:name w:val="envelope return"/>
    <w:basedOn w:val="1"/>
    <w:qFormat/>
    <w:uiPriority w:val="0"/>
    <w:pPr>
      <w:snapToGrid w:val="0"/>
    </w:pPr>
    <w:rPr>
      <w:rFonts w:ascii="Arial" w:hAnsi="Arial" w:cs="Arial"/>
    </w:rPr>
  </w:style>
  <w:style w:type="paragraph" w:styleId="10">
    <w:name w:val="Balloon Text"/>
    <w:basedOn w:val="1"/>
    <w:link w:val="28"/>
    <w:semiHidden/>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style>
  <w:style w:type="paragraph" w:styleId="14">
    <w:name w:val="Normal (Web)"/>
    <w:basedOn w:val="1"/>
    <w:unhideWhenUsed/>
    <w:qFormat/>
    <w:uiPriority w:val="0"/>
    <w:pPr>
      <w:spacing w:beforeAutospacing="1" w:afterAutospacing="1"/>
      <w:jc w:val="left"/>
    </w:pPr>
    <w:rPr>
      <w:kern w:val="0"/>
      <w:sz w:val="24"/>
    </w:rPr>
  </w:style>
  <w:style w:type="paragraph" w:styleId="15">
    <w:name w:val="annotation subject"/>
    <w:basedOn w:val="5"/>
    <w:next w:val="5"/>
    <w:link w:val="27"/>
    <w:semiHidden/>
    <w:unhideWhenUsed/>
    <w:qFormat/>
    <w:uiPriority w:val="99"/>
    <w:rPr>
      <w:b/>
      <w:bCs/>
    </w:rPr>
  </w:style>
  <w:style w:type="paragraph" w:styleId="16">
    <w:name w:val="Body Text First Indent 2"/>
    <w:basedOn w:val="8"/>
    <w:next w:val="1"/>
    <w:qFormat/>
    <w:uiPriority w:val="0"/>
    <w:pPr>
      <w:ind w:firstLine="420" w:firstLineChars="200"/>
    </w:pPr>
  </w:style>
  <w:style w:type="table" w:styleId="18">
    <w:name w:val="Table Grid"/>
    <w:basedOn w:val="1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annotation reference"/>
    <w:basedOn w:val="19"/>
    <w:semiHidden/>
    <w:unhideWhenUsed/>
    <w:qFormat/>
    <w:uiPriority w:val="99"/>
    <w:rPr>
      <w:sz w:val="21"/>
      <w:szCs w:val="21"/>
    </w:rPr>
  </w:style>
  <w:style w:type="character" w:customStyle="1" w:styleId="22">
    <w:name w:val="页眉 Char"/>
    <w:basedOn w:val="19"/>
    <w:link w:val="12"/>
    <w:semiHidden/>
    <w:qFormat/>
    <w:uiPriority w:val="99"/>
    <w:rPr>
      <w:sz w:val="18"/>
      <w:szCs w:val="18"/>
    </w:rPr>
  </w:style>
  <w:style w:type="character" w:customStyle="1" w:styleId="23">
    <w:name w:val="页脚 Char"/>
    <w:basedOn w:val="19"/>
    <w:link w:val="11"/>
    <w:semiHidden/>
    <w:qFormat/>
    <w:uiPriority w:val="99"/>
    <w:rPr>
      <w:sz w:val="18"/>
      <w:szCs w:val="18"/>
    </w:rPr>
  </w:style>
  <w:style w:type="paragraph" w:customStyle="1" w:styleId="24">
    <w:name w:val="列出段落1"/>
    <w:basedOn w:val="1"/>
    <w:qFormat/>
    <w:uiPriority w:val="34"/>
    <w:pPr>
      <w:ind w:firstLine="420" w:firstLineChars="200"/>
    </w:pPr>
  </w:style>
  <w:style w:type="paragraph" w:styleId="25">
    <w:name w:val="List Paragraph"/>
    <w:basedOn w:val="1"/>
    <w:unhideWhenUsed/>
    <w:qFormat/>
    <w:uiPriority w:val="99"/>
    <w:pPr>
      <w:ind w:firstLine="420" w:firstLineChars="200"/>
    </w:pPr>
  </w:style>
  <w:style w:type="character" w:customStyle="1" w:styleId="26">
    <w:name w:val="批注文字 Char"/>
    <w:basedOn w:val="19"/>
    <w:link w:val="5"/>
    <w:semiHidden/>
    <w:qFormat/>
    <w:uiPriority w:val="99"/>
    <w:rPr>
      <w:kern w:val="2"/>
      <w:sz w:val="21"/>
      <w:szCs w:val="22"/>
    </w:rPr>
  </w:style>
  <w:style w:type="character" w:customStyle="1" w:styleId="27">
    <w:name w:val="批注主题 Char"/>
    <w:basedOn w:val="26"/>
    <w:link w:val="15"/>
    <w:semiHidden/>
    <w:qFormat/>
    <w:uiPriority w:val="99"/>
    <w:rPr>
      <w:b/>
      <w:bCs/>
    </w:rPr>
  </w:style>
  <w:style w:type="character" w:customStyle="1" w:styleId="28">
    <w:name w:val="批注框文本 Char"/>
    <w:basedOn w:val="19"/>
    <w:link w:val="10"/>
    <w:semiHidden/>
    <w:qFormat/>
    <w:uiPriority w:val="99"/>
    <w:rPr>
      <w:kern w:val="2"/>
      <w:sz w:val="18"/>
      <w:szCs w:val="18"/>
    </w:rPr>
  </w:style>
  <w:style w:type="paragraph" w:customStyle="1" w:styleId="29">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30">
    <w:name w:val="Normal"/>
    <w:qFormat/>
    <w:uiPriority w:val="0"/>
    <w:rPr>
      <w:rFonts w:ascii="Times New Roman" w:hAnsi="Times New Roman" w:eastAsia="Times New Roman" w:cs="Times New Roman"/>
      <w:sz w:val="24"/>
      <w:szCs w:val="24"/>
      <w:lang w:bidi="ar-SA"/>
    </w:rPr>
  </w:style>
  <w:style w:type="table" w:customStyle="1" w:styleId="31">
    <w:name w:val="Plain Table 1"/>
    <w:basedOn w:val="17"/>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3">
    <w:name w:val="font51"/>
    <w:basedOn w:val="19"/>
    <w:qFormat/>
    <w:uiPriority w:val="0"/>
    <w:rPr>
      <w:rFonts w:ascii="Calibri" w:hAnsi="Calibri" w:cs="Calibri"/>
      <w:color w:val="000000"/>
      <w:sz w:val="22"/>
      <w:szCs w:val="22"/>
      <w:u w:val="none"/>
    </w:rPr>
  </w:style>
  <w:style w:type="paragraph" w:customStyle="1" w:styleId="34">
    <w:name w:val="列表段落1"/>
    <w:basedOn w:val="1"/>
    <w:qFormat/>
    <w:uiPriority w:val="34"/>
    <w:pPr>
      <w:ind w:firstLine="420" w:firstLineChars="200"/>
    </w:pPr>
    <w:rPr>
      <w:rFonts w:ascii="Calibri" w:hAnsi="Calibri"/>
      <w:szCs w:val="24"/>
    </w:rPr>
  </w:style>
  <w:style w:type="character" w:customStyle="1" w:styleId="35">
    <w:name w:val="font21"/>
    <w:basedOn w:val="1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4054</Words>
  <Characters>4320</Characters>
  <Lines>57</Lines>
  <Paragraphs>16</Paragraphs>
  <TotalTime>2</TotalTime>
  <ScaleCrop>false</ScaleCrop>
  <LinksUpToDate>false</LinksUpToDate>
  <CharactersWithSpaces>4379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2023-12-05T08:45:58Z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E413ABD78EAF4DD2AE3493271C476C59_13</vt:lpwstr>
  </property>
</Properties>
</file>